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247" w:rsidRDefault="007501CD">
      <w:pPr>
        <w:spacing w:after="0" w:line="240" w:lineRule="auto"/>
        <w:ind w:left="6" w:right="40" w:hanging="6"/>
        <w:jc w:val="right"/>
        <w:rPr>
          <w:rFonts w:asciiTheme="minorHAnsi" w:hAnsiTheme="minorHAnsi" w:cstheme="minorHAnsi"/>
          <w:b/>
          <w:bCs/>
          <w:color w:val="000000" w:themeColor="text1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Cs w:val="24"/>
        </w:rPr>
        <w:t>Załącznik nr 2 do Zapytania ofertowego</w:t>
      </w:r>
      <w:r w:rsidR="005500E1">
        <w:rPr>
          <w:rFonts w:asciiTheme="minorHAnsi" w:hAnsiTheme="minorHAnsi" w:cstheme="minorHAnsi"/>
          <w:b/>
          <w:bCs/>
          <w:color w:val="000000" w:themeColor="text1"/>
          <w:szCs w:val="24"/>
        </w:rPr>
        <w:t xml:space="preserve"> (02-2026-K)</w:t>
      </w:r>
    </w:p>
    <w:p w:rsidR="00BA0247" w:rsidRPr="001E5B0F" w:rsidRDefault="00BA0247">
      <w:pPr>
        <w:spacing w:after="0" w:line="240" w:lineRule="auto"/>
        <w:ind w:left="6" w:right="40" w:hanging="6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:rsidR="00BA0247" w:rsidRDefault="007501CD">
      <w:pPr>
        <w:spacing w:after="0" w:line="240" w:lineRule="auto"/>
        <w:ind w:left="6" w:right="40" w:hanging="6"/>
        <w:jc w:val="center"/>
        <w:rPr>
          <w:rFonts w:asciiTheme="minorHAnsi" w:hAnsiTheme="minorHAnsi" w:cstheme="minorHAnsi"/>
          <w:b/>
          <w:bCs/>
          <w:color w:val="000000" w:themeColor="text1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Cs w:val="24"/>
        </w:rPr>
        <w:t>OPIS PRZEDMIOTU ZAMÓWIENIA (OPZ)</w:t>
      </w:r>
    </w:p>
    <w:p w:rsidR="00BA0247" w:rsidRPr="001E5B0F" w:rsidRDefault="00BA0247">
      <w:pPr>
        <w:spacing w:after="0" w:line="240" w:lineRule="auto"/>
        <w:ind w:left="6" w:right="40" w:hanging="6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:rsidR="00BA0247" w:rsidRDefault="007501CD">
      <w:pPr>
        <w:spacing w:after="0" w:line="240" w:lineRule="auto"/>
        <w:ind w:left="6" w:right="40" w:hanging="6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szCs w:val="24"/>
        </w:rPr>
        <w:t xml:space="preserve">Nazwa zamówienia: </w:t>
      </w:r>
      <w:r>
        <w:rPr>
          <w:rFonts w:ascii="Calibri" w:hAnsi="Calibri" w:cs="Calibri"/>
          <w:b/>
          <w:bCs/>
          <w:szCs w:val="24"/>
        </w:rPr>
        <w:t xml:space="preserve">„Zakup i dostawa </w:t>
      </w:r>
      <w:r w:rsidR="00E70D4E" w:rsidRPr="00E70D4E">
        <w:rPr>
          <w:rFonts w:ascii="Calibri" w:hAnsi="Calibri" w:cs="Calibri"/>
          <w:b/>
          <w:bCs/>
          <w:szCs w:val="24"/>
        </w:rPr>
        <w:t xml:space="preserve">aparatu EKG, pomp infuzyjnych </w:t>
      </w:r>
      <w:proofErr w:type="spellStart"/>
      <w:r w:rsidR="00E70D4E" w:rsidRPr="00E70D4E">
        <w:rPr>
          <w:rFonts w:ascii="Calibri" w:hAnsi="Calibri" w:cs="Calibri"/>
          <w:b/>
          <w:bCs/>
          <w:szCs w:val="24"/>
        </w:rPr>
        <w:t>strzykawkowych</w:t>
      </w:r>
      <w:proofErr w:type="spellEnd"/>
      <w:r w:rsidR="00E70D4E" w:rsidRPr="00E70D4E">
        <w:rPr>
          <w:rFonts w:ascii="Calibri" w:hAnsi="Calibri" w:cs="Calibri"/>
          <w:b/>
          <w:bCs/>
          <w:szCs w:val="24"/>
        </w:rPr>
        <w:t xml:space="preserve"> </w:t>
      </w:r>
      <w:r w:rsidR="00E70D4E">
        <w:rPr>
          <w:rFonts w:ascii="Calibri" w:hAnsi="Calibri" w:cs="Calibri"/>
          <w:b/>
          <w:bCs/>
          <w:szCs w:val="24"/>
        </w:rPr>
        <w:br/>
      </w:r>
      <w:r w:rsidR="00E70D4E" w:rsidRPr="00E70D4E">
        <w:rPr>
          <w:rFonts w:ascii="Calibri" w:hAnsi="Calibri" w:cs="Calibri"/>
          <w:b/>
          <w:bCs/>
          <w:szCs w:val="24"/>
        </w:rPr>
        <w:t>i defibrylatorów</w:t>
      </w:r>
      <w:r>
        <w:rPr>
          <w:rFonts w:ascii="Calibri" w:hAnsi="Calibri" w:cs="Calibri"/>
          <w:b/>
          <w:bCs/>
          <w:szCs w:val="24"/>
        </w:rPr>
        <w:t>”</w:t>
      </w:r>
      <w:r w:rsidR="00E70D4E">
        <w:rPr>
          <w:rFonts w:ascii="Calibri" w:hAnsi="Calibri" w:cs="Calibri"/>
          <w:b/>
          <w:bCs/>
          <w:szCs w:val="24"/>
        </w:rPr>
        <w:t>.</w:t>
      </w:r>
    </w:p>
    <w:p w:rsidR="000C1F43" w:rsidRDefault="000C1F43">
      <w:pPr>
        <w:spacing w:after="0" w:line="240" w:lineRule="auto"/>
        <w:ind w:left="6" w:right="40" w:hanging="6"/>
        <w:rPr>
          <w:rFonts w:ascii="Calibri" w:hAnsi="Calibri" w:cs="Calibri"/>
          <w:b/>
          <w:bCs/>
          <w:szCs w:val="24"/>
        </w:rPr>
      </w:pPr>
    </w:p>
    <w:tbl>
      <w:tblPr>
        <w:tblStyle w:val="Tabela-Siatka"/>
        <w:tblW w:w="9788" w:type="dxa"/>
        <w:tblLayout w:type="fixed"/>
        <w:tblLook w:val="04A0"/>
      </w:tblPr>
      <w:tblGrid>
        <w:gridCol w:w="562"/>
        <w:gridCol w:w="5954"/>
        <w:gridCol w:w="3260"/>
        <w:gridCol w:w="12"/>
      </w:tblGrid>
      <w:tr w:rsidR="000C1F43" w:rsidRPr="002D142C" w:rsidTr="00F129EC">
        <w:trPr>
          <w:gridAfter w:val="1"/>
          <w:wAfter w:w="12" w:type="dxa"/>
          <w:trHeight w:hRule="exact" w:val="851"/>
        </w:trPr>
        <w:tc>
          <w:tcPr>
            <w:tcW w:w="562" w:type="dxa"/>
            <w:vAlign w:val="center"/>
          </w:tcPr>
          <w:p w:rsidR="000C1F43" w:rsidRPr="002D142C" w:rsidRDefault="000C1F43" w:rsidP="002D142C">
            <w:pPr>
              <w:ind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954" w:type="dxa"/>
            <w:vAlign w:val="center"/>
          </w:tcPr>
          <w:p w:rsidR="000C1F43" w:rsidRPr="002D142C" w:rsidRDefault="000C1F43" w:rsidP="001E5B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b/>
                <w:sz w:val="20"/>
                <w:szCs w:val="20"/>
              </w:rPr>
              <w:t>PARAMETRY TECHNICZNE WYMAGANE</w:t>
            </w:r>
          </w:p>
        </w:tc>
        <w:tc>
          <w:tcPr>
            <w:tcW w:w="3260" w:type="dxa"/>
            <w:vAlign w:val="center"/>
          </w:tcPr>
          <w:p w:rsidR="00504C72" w:rsidRDefault="000C1F43" w:rsidP="005B25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b/>
                <w:sz w:val="20"/>
                <w:szCs w:val="20"/>
              </w:rPr>
              <w:t xml:space="preserve">PARAMETRY TECHNICZNE OFEROWANE </w:t>
            </w:r>
          </w:p>
          <w:p w:rsidR="000C1F43" w:rsidRPr="002D142C" w:rsidRDefault="000C1F43" w:rsidP="005B25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TAK/PROSZĘ PODAĆ</w:t>
            </w:r>
            <w:r w:rsidRPr="002D142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04C72" w:rsidRPr="002D142C" w:rsidTr="00F129EC">
        <w:trPr>
          <w:trHeight w:hRule="exact" w:val="510"/>
        </w:trPr>
        <w:tc>
          <w:tcPr>
            <w:tcW w:w="9788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C72" w:rsidRPr="002D142C" w:rsidRDefault="00504C72" w:rsidP="002D142C">
            <w:pPr>
              <w:ind w:left="-113" w:right="-108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CZĘŚĆ NR 1 - </w:t>
            </w:r>
            <w:r w:rsidR="00A45142">
              <w:rPr>
                <w:rFonts w:ascii="Arial" w:hAnsi="Arial" w:cs="Arial"/>
                <w:b/>
                <w:szCs w:val="24"/>
              </w:rPr>
              <w:t>APARAT EKG (</w:t>
            </w:r>
            <w:r w:rsidRPr="002D142C">
              <w:rPr>
                <w:rFonts w:ascii="Arial" w:hAnsi="Arial" w:cs="Arial"/>
                <w:b/>
                <w:szCs w:val="24"/>
              </w:rPr>
              <w:t>1 SZT.</w:t>
            </w:r>
            <w:r w:rsidR="00A45142">
              <w:rPr>
                <w:rFonts w:ascii="Arial" w:hAnsi="Arial" w:cs="Arial"/>
                <w:b/>
                <w:szCs w:val="24"/>
              </w:rPr>
              <w:t>)</w:t>
            </w: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2D142C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D142C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54" w:type="dxa"/>
            <w:vAlign w:val="center"/>
          </w:tcPr>
          <w:p w:rsidR="000C1F43" w:rsidRPr="002D142C" w:rsidRDefault="000C1F43" w:rsidP="00EE61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b/>
                <w:sz w:val="20"/>
                <w:szCs w:val="20"/>
              </w:rPr>
              <w:t>PRODUCENT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EE61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2D142C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EE61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b/>
                <w:sz w:val="20"/>
                <w:szCs w:val="20"/>
              </w:rPr>
              <w:t>NAZWA / TYP (model)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EE61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D142C">
              <w:rPr>
                <w:rFonts w:ascii="Arial" w:hAnsi="Arial" w:cs="Arial"/>
                <w:b/>
                <w:sz w:val="20"/>
                <w:szCs w:val="20"/>
              </w:rPr>
              <w:t>KRAJ POCHODZENIA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Klasyfikacja zgodna z normą IEC/EN 60601-1 lub równoważną, ochrona przed porażeniem prądem.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 Aparat EKG z ochroną przed wodą i kurzem co najmniej IPX1 oraz z IPX4 dla modułu pacjenta z przewodami 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Urządzenie klasy I z izolacją typu CF odporną na defibrylację.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Jednoczesny zapis z co najmniej 12 odprowadzeń EKG; Aparat co najmniej  12 kanałowy w układzie standardowym.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rozbudowy aparatu o zapis co najmniej 16 odprowadzeniowy (V3R, V4R, V5R, V7, V8 i V9). Dodatkowe formaty obsługujące EKG o zwiększonej liczbie odprowadzeń.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Raporty w min. 6 formatach: 3x4, 3x4 1R, 3x4 3R, 3x4 1R 8ST, 3x4 1 R 10ST 6x2, 6x2 1R, 12x1. Dostępne formaty raportów to min.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pdf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xml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Wykonywanie pomiarów HR, RR,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PR,QRS,QT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QTc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oraz pomiarów osi P,QRS,T.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QTc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obliczane według algorytmu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Bazetta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Fridericia</w:t>
            </w:r>
            <w:proofErr w:type="spellEnd"/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Stałe wyświetlanie częstości rytmu serca.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Kolorowy ekran dotykowy o przekątnej min. 12 cali (min. 30cm) i  rozdzielczości min. 1280x800, min. 16 700 000 kolorów.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Typ ekranu: pojemnościowy ekran dotykowy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  <w:tcBorders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Obsługa gestów ekranowych palcem, lewo/prawo, przewijanie, przybliżanie/oddalanie.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Technologia obsługi ekranu „mokrym palcem” oraz technologia obsługi ekranu za pomocą rękawiczki.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Aparat EKG z ekranem na dedykowanym wysięgniku, z możliwością położenia ekranu oraz z płynną regulacją kąta nachylenia ekranu. 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</w:tcBorders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Anatomicznie wyprofilowany interfejs pacjenta przyłączany w celu łatwego podłączania, ograniczający możliwość splątania przewodów. Interfejs mocowany na wysięgniku wózka jezdnego.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wykonania/rozpoczęcia zapisu EKG z poziomu aparatu lub z poziomu interfejsu pacjenta.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wymiany pojedynczych przewodów i elektrod.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3" w:rsidRPr="002D142C" w:rsidRDefault="000C1F43" w:rsidP="00020366">
            <w:pPr>
              <w:pStyle w:val="Bezodstpw"/>
              <w:numPr>
                <w:ilvl w:val="0"/>
                <w:numId w:val="5"/>
              </w:numPr>
              <w:ind w:left="5" w:hanging="5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eastAsia="Times New Roman" w:hAnsi="Arial" w:cs="Arial"/>
                <w:sz w:val="20"/>
                <w:szCs w:val="20"/>
              </w:rPr>
              <w:t>Prosta intuicyjna obsługa w 3 krokach według kolejności podświetlanych klawiszy. 1 - włączenie aparatu, 2 – wpisanie danych pacjenta, 3 – wykonanie badania.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Bezodstpw"/>
              <w:numPr>
                <w:ilvl w:val="0"/>
                <w:numId w:val="5"/>
              </w:numPr>
              <w:ind w:left="5" w:hanging="5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</w:tcBorders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eastAsia="Times New Roman" w:hAnsi="Arial" w:cs="Arial"/>
                <w:sz w:val="20"/>
                <w:szCs w:val="20"/>
              </w:rPr>
              <w:t>Możliwość wydruku dowolnej liczby odprowadzeń lub grup odprowadzeń w formie rytm. Możliwość zmiany odprowadzeń w trakcie rejestracji.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Bezodstpw"/>
              <w:numPr>
                <w:ilvl w:val="0"/>
                <w:numId w:val="5"/>
              </w:numPr>
              <w:ind w:left="5" w:hanging="5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eastAsia="Times New Roman" w:hAnsi="Arial" w:cs="Arial"/>
                <w:sz w:val="20"/>
                <w:szCs w:val="20"/>
              </w:rPr>
              <w:t>Pełna klawiatura ekranowa w układzie QWERTY do wprowadzania danych demograficznych badanych pacjentów oraz możliwość podłączenia zewnętrznej klawiatury przewodowej i bezprzewodowej.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Bezodstpw"/>
              <w:numPr>
                <w:ilvl w:val="0"/>
                <w:numId w:val="5"/>
              </w:numPr>
              <w:ind w:left="5" w:hanging="5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eastAsia="Times New Roman" w:hAnsi="Arial" w:cs="Arial"/>
                <w:sz w:val="20"/>
                <w:szCs w:val="20"/>
              </w:rPr>
              <w:t>Możliwość podłączenia zewnętrznej klawiatury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5"/>
              </w:numPr>
              <w:ind w:left="5" w:hanging="5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eastAsia="Times New Roman" w:hAnsi="Arial" w:cs="Arial"/>
                <w:sz w:val="20"/>
                <w:szCs w:val="20"/>
              </w:rPr>
              <w:t>Wbudowana w aparat EKG opcja analizy i interpretacji. Wymagana funkcjonalność powinna dawać się niezależnie włączać i wyłączenia do druku na raporcie EKG.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5"/>
              </w:numPr>
              <w:ind w:left="5" w:hanging="5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eastAsia="Times New Roman" w:hAnsi="Arial" w:cs="Arial"/>
                <w:sz w:val="20"/>
                <w:szCs w:val="20"/>
              </w:rPr>
              <w:t>Wbudowany mechanizm pomiarów i interpretacji otrzymanych wyników dla wszystkich odprowadzeń.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Możliwość skonfigurowania min. 12 profili badań. 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Algorytm do interpretacji zapisu EKG, wbudowane opisy interpretacyjne. Min. 600 opisów interpretacyjnych.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Graficzna prezentacja zmian w odcinku ST w postaci wykresów wieloosiowych tzw. mapy ST przy min. 2 raportach EKG.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zastosowania rozszerzonej analizy pomiarów EKG.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Analiza morfologii rytmu dla każdego z 12 odprowadzeń – min. 40 pomiarów.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Analizy rytmu – min. 20 pomiarów.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Pomoce do diagnostyki zawału z uniesieniem odcinka ST (STEMI - niedrożności tętnicy wieńcowej).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Kryterium do rozpoznania dowolnego z 4 prawdopodobnych miejsc niedrożności tętnicy wieńcowej.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Oznaczenie min. 4 wartości krytycznych, wymagających natychmiastowego działania personelu medycznego.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Korekcja odstępu QT według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Bazetta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Fridericia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Hodgesa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Framinghama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Raport zawierający min.: krzywe EKG, HR, demograficzne dane pacjenta, ID, pacjenta, nazwę oddziału, data i godzina wykonania badania, interpretacja, ustawienia filtracji i parametry rejestracji krzywych.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Informacja o ustawieniach czułości i prędkości przesuwu wyświetlana i drukowana wraz z zapisem EKG.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podglądu krzywych EKG na ekranie przed rejestracją/wydrukiem/przesyłaniem danych.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zmiany formatu badania EKG do wydruku po akwizycji sygnału EKG.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zmiany ustawień i filtrów badania EKG po akwizycji sygnału EKG.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Duża częstotliwość próbkowania sygnału umożliwiająca prawidłową rejestrację. Minimum 8000 próbek/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sek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>/odprowadzenie.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Algorytm korekcja szerokich zespołów QRS.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Detekcja impulsów ze stymulatora serca min. 0,02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mVms</w:t>
            </w:r>
            <w:proofErr w:type="spellEnd"/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rozbudowy o bezprzewodowy moduł akwizycji sygnału 12 odprowadzeniowy.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Zakres częstotliwości pomiarowej aparatu min. 0,02-300 Hz.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Filtr zakłóceń sieciowych prądu przemiennego, filtr wędrowania linii odniesienia, filtr artefaktów.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tabs>
                <w:tab w:val="left" w:pos="2400"/>
              </w:tabs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tabs>
                <w:tab w:val="left" w:pos="2400"/>
              </w:tabs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Filtry górnoprzepustowe co najmniej 3 do wyboru w zakresie 0,02 – 0,15 Hz.</w:t>
            </w:r>
          </w:p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Filtry dolnoprzepustowe co najmniej 3 do wyboru w zakresie 40-300 Hz.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Prędkość: 25mm/s, 50 mm/s.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Czułość co najmniej 3 do wyboru w zakresie 5-20 mm/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mV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Anatomiczna kolorowa mapa odprowadzeń prezentująca miejsca i etykiety nieprawidłowo podłączonych lub odłączonych odprowadzeń/elektrod. Mapa dostępna pod przyciskiem i włączająca się na ekranie urządzenia przy każdym włączeniu.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Funkcja oznaczania jakość sygnału z poszczególnych odprowadzeń za pomocą min. 4 kolorów.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Oprogramowanie do kontroli umiejscowienia odprowadzeń wykrywające min. 19 różnych zmian umiejscowienia.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5"/>
              </w:numPr>
              <w:ind w:left="5" w:hanging="5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eastAsia="Times New Roman" w:hAnsi="Arial" w:cs="Arial"/>
                <w:sz w:val="20"/>
                <w:szCs w:val="20"/>
              </w:rPr>
              <w:t>Wyświetlanie miejsc i etykiet wszystkich nieprawidłowo podłączonych lub odłączonych odprowadzeń.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Zintegrowane graficzne ekrany pomocy dla podstawowych funkcji. 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tabs>
                <w:tab w:val="left" w:pos="2400"/>
              </w:tabs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tabs>
                <w:tab w:val="left" w:pos="2400"/>
              </w:tabs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Pamięć urządzenia:</w:t>
            </w:r>
          </w:p>
          <w:p w:rsidR="000C1F43" w:rsidRPr="002D142C" w:rsidRDefault="000C1F43" w:rsidP="00020366">
            <w:pPr>
              <w:tabs>
                <w:tab w:val="left" w:pos="2400"/>
              </w:tabs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- min. 1000 zapisów EKG w pamięci wewnętrznej</w:t>
            </w:r>
          </w:p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- możliwość zapisywania badań EKG na zewnętrznym nośniku.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Zasilanie sieciowe 230V/50Hz.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Zasilanie akumulatorowe, akumulator litowo-jonowy, umożliwiający wykonanie min. 90 zapisów EKG lub min. 120 minut ciągłej rejestracji rytmu. Ładowanie baterii do 100% w czasie do 4 godzin.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Automatyczne przejście aparatu EKG w stan gotowości oraz w stan wyłączenia po minięciu określonego czasu.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Automatyczne przejście w tryb gotowości, gdy ekran aparatu zostanie położony poziomo.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Pobór mocy maks. 60 W.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Współczynnik CMRR min. 125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Komunikacja: min 4 porty USB, min. 1 port Ethernet/LAN, min. 1 port HDMI.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Czas pracy w pełni naładowanego pojedynczego akumulatora w standardowych warunkach bez drukowania  min. 12h lub ciągłej rejestracji rytmu(wydruku) min. 2,5h.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420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Sygnalizacja poziomu naładowania akumulatora wraz z pozostałym czasem pracy oraz ilością cykli baterii.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555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W celu oszczędności i ochrony baterii aparat posiada ustawienie po ilu minutach bezczynności przejdzie w stan uśpienia oraz po ilu minutach automatycznie się wyłączy.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Obwody wejściowe odporne na impuls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defibrylacyjny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eastAsia="Batang" w:hAnsi="Arial" w:cs="Arial"/>
                <w:sz w:val="20"/>
                <w:szCs w:val="20"/>
                <w:highlight w:val="yellow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Wbudowany tryb szkoleniowy (demo) z symulacją zapisów EKG do nauki obsługi.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5"/>
              </w:numPr>
              <w:ind w:left="5" w:hanging="5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eastAsia="Times New Roman" w:hAnsi="Arial" w:cs="Arial"/>
                <w:sz w:val="20"/>
                <w:szCs w:val="20"/>
              </w:rPr>
              <w:t xml:space="preserve">Rozdzielczość wydruku min. 200x500 </w:t>
            </w:r>
            <w:proofErr w:type="spellStart"/>
            <w:r w:rsidRPr="002D142C">
              <w:rPr>
                <w:rFonts w:ascii="Arial" w:eastAsia="Times New Roman" w:hAnsi="Arial" w:cs="Arial"/>
                <w:sz w:val="20"/>
                <w:szCs w:val="20"/>
              </w:rPr>
              <w:t>dpi</w:t>
            </w:r>
            <w:proofErr w:type="spellEnd"/>
            <w:r w:rsidRPr="002D142C">
              <w:rPr>
                <w:rFonts w:ascii="Arial" w:eastAsia="Times New Roman" w:hAnsi="Arial" w:cs="Arial"/>
                <w:sz w:val="20"/>
                <w:szCs w:val="20"/>
              </w:rPr>
              <w:t>, szerokość min. 210 mm, łatwy dostęp do papieru.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Wbudowana drukarka na papier termiczny z czujnikiem pozycjonowania papieru. Możliwość podglądu zapisów EKG na pełnym ekranie przed wydrukiem. Drukarka z wydrukiem z boku </w:t>
            </w:r>
            <w:r w:rsidRPr="002D142C">
              <w:rPr>
                <w:rFonts w:ascii="Arial" w:hAnsi="Arial" w:cs="Arial"/>
                <w:sz w:val="20"/>
                <w:szCs w:val="20"/>
              </w:rPr>
              <w:lastRenderedPageBreak/>
              <w:t xml:space="preserve">urządzenia. 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Papier termiczny, składany, szerokość papieru 210 mm, z znacznikiem pozycjonującym.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Rejestrowanie badań w trybie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emergency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z możliwością późniejszej identyfikacji po dacie, godzinie, numerze seryjnym aparatu.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dodawania własnych dowolnych pól definiowalnych w formie np. listy rozwijanej z możliwością wydrukowania na raporcie EKG.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włączenia dodatkowych informacji klinicznych pacjenta takich jak: objawy, wywiad, przepisane leki, rozpoznania, ciśnienie krwi z możliwością wydrukowania na raporcie EKG.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włączenia informacji dodatkowych takich jak: placówka, oddział, ID operatora, sala, masa ciała, wzrost z możliwością wydrukowania na raporcie EKG.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szybkiej wymiany akumulatora przez użytkownika, bez konieczności przerywania pracy, stosowania narzędzi i interwencji serwisu.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wprowadzania hasła użytkownika.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zabezpieczenia oddzielnymi hasłami dostępu do archiwum badań, konfiguracji i trybu serwisowego.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zablokowania portów USB przed eksportem badań z urządzenia.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przeprowadzenia szybkich testów konserwacyjnych sprawdzających podstawowe funkcje aparatu.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zapisywania i wczytywania ustawień konfiguracyjnych aparatu, ustawień sieciowych oraz dziennika zdarzeń z i do aparatu.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Moduł komunikacyjny LAN/Ethernet.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Moduł komunikacji bezprzewodowej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802.11 b/a/g/n/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ac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5). Standard szyfrowania WPA2 Enterprise oraz Personal, a także  WPA3 Enterprise oraz Personal.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Czytnik kodów kreskowych.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10-min historia zapisów ze wszystkich 12 odprowadzeń. Możliwość wyboru dowolnego zapisu 10-sekundowego z historii.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dodawania 10 znaczników przez operatora na ekranie odprowadzeń i zapisywania ich w historii zapisu, co umożliwia szybki dostęp do interesujących odcinków i wskazanie ich do analizy.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rozbudowy o zapis danych w formacie o standardzie DICOM.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Możliwość aparatu rozpoznawania pisanych ręcznie znaków na dotykowym ekranie na wirtualnej klawiaturze i automatyczne wpisywanie ich. 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Dedykowany stabilny wózek jezdny z koszykami na akcesoria, wyposażony w 4 koła z możliwością blokady, dedykowane miejsce na zapasowy papier do EKG lub instrukcję obsługi, wysięgnik na kable EKG pacjenta zapobiegający plątaniu się przewodów oraz blat roboczy.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tabs>
                <w:tab w:val="left" w:pos="2400"/>
              </w:tabs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tabs>
                <w:tab w:val="left" w:pos="2400"/>
              </w:tabs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Akcesoria:</w:t>
            </w:r>
          </w:p>
          <w:p w:rsidR="000C1F43" w:rsidRPr="002D142C" w:rsidRDefault="000C1F43" w:rsidP="00020366">
            <w:pPr>
              <w:tabs>
                <w:tab w:val="left" w:pos="2400"/>
              </w:tabs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lastRenderedPageBreak/>
              <w:t>- Przewód pacjenta,</w:t>
            </w:r>
          </w:p>
          <w:p w:rsidR="000C1F43" w:rsidRPr="002D142C" w:rsidRDefault="000C1F43" w:rsidP="00020366">
            <w:pPr>
              <w:tabs>
                <w:tab w:val="left" w:pos="2400"/>
              </w:tabs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- Elektrody kończynowe,</w:t>
            </w:r>
          </w:p>
          <w:p w:rsidR="000C1F43" w:rsidRPr="002D142C" w:rsidRDefault="000C1F43" w:rsidP="00020366">
            <w:pPr>
              <w:tabs>
                <w:tab w:val="left" w:pos="2400"/>
              </w:tabs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- Elektrody przedsercowe,</w:t>
            </w:r>
          </w:p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- papier w formie ryzy (A4).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5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A77AAD">
              <w:rPr>
                <w:rFonts w:ascii="Arial" w:hAnsi="Arial" w:cs="Arial"/>
                <w:sz w:val="20"/>
                <w:szCs w:val="20"/>
              </w:rPr>
              <w:t>Okres gwarancji w miesiącach (wymagany min. 24 m-ce).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FE64E4" w:rsidRDefault="000C1F43" w:rsidP="00A33C91">
            <w:pPr>
              <w:pStyle w:val="Akapitzlist"/>
              <w:ind w:left="5" w:right="0" w:firstLine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93</w:t>
            </w:r>
            <w:r w:rsidRPr="00FE64E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954" w:type="dxa"/>
            <w:vAlign w:val="center"/>
          </w:tcPr>
          <w:p w:rsidR="000C1F43" w:rsidRPr="00F10C29" w:rsidRDefault="000C1F43" w:rsidP="00A33C91">
            <w:pPr>
              <w:rPr>
                <w:rFonts w:ascii="Arial" w:hAnsi="Arial" w:cs="Arial"/>
                <w:sz w:val="20"/>
                <w:szCs w:val="20"/>
              </w:rPr>
            </w:pPr>
            <w:r w:rsidRPr="00FE64E4">
              <w:rPr>
                <w:rFonts w:ascii="Arial" w:hAnsi="Arial" w:cs="Arial"/>
                <w:sz w:val="20"/>
                <w:szCs w:val="20"/>
              </w:rPr>
              <w:t>Paszport techniczny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A33C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29EC" w:rsidTr="00F129EC">
        <w:trPr>
          <w:trHeight w:hRule="exact" w:val="510"/>
        </w:trPr>
        <w:tc>
          <w:tcPr>
            <w:tcW w:w="9788" w:type="dxa"/>
            <w:gridSpan w:val="4"/>
            <w:shd w:val="clear" w:color="auto" w:fill="BFBFBF" w:themeFill="background1" w:themeFillShade="BF"/>
            <w:vAlign w:val="center"/>
          </w:tcPr>
          <w:p w:rsidR="00F129EC" w:rsidRPr="002D142C" w:rsidRDefault="00F129EC" w:rsidP="00020366">
            <w:pPr>
              <w:ind w:left="-113" w:right="-108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CZĘŚĆ NR 2 - </w:t>
            </w:r>
            <w:r w:rsidR="00A45142">
              <w:rPr>
                <w:rFonts w:ascii="Arial" w:hAnsi="Arial" w:cs="Arial"/>
                <w:b/>
                <w:szCs w:val="24"/>
              </w:rPr>
              <w:t>POMPA INFUZYJNA STRZYKAWKOWA (</w:t>
            </w:r>
            <w:r w:rsidRPr="002D142C">
              <w:rPr>
                <w:rFonts w:ascii="Arial" w:hAnsi="Arial" w:cs="Arial"/>
                <w:b/>
                <w:szCs w:val="24"/>
              </w:rPr>
              <w:t>8 SZT.</w:t>
            </w:r>
            <w:r w:rsidR="00A45142">
              <w:rPr>
                <w:rFonts w:ascii="Arial" w:hAnsi="Arial" w:cs="Arial"/>
                <w:b/>
                <w:szCs w:val="24"/>
              </w:rPr>
              <w:t>)</w:t>
            </w: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D142C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b/>
                <w:sz w:val="20"/>
                <w:szCs w:val="20"/>
              </w:rPr>
              <w:t>PRODUCENT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b/>
                <w:sz w:val="20"/>
                <w:szCs w:val="20"/>
              </w:rPr>
              <w:t>NAZWA / TYP (model)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D142C">
              <w:rPr>
                <w:rFonts w:ascii="Arial" w:hAnsi="Arial" w:cs="Arial"/>
                <w:b/>
                <w:sz w:val="20"/>
                <w:szCs w:val="20"/>
              </w:rPr>
              <w:t>KRAJ POCHODZENIA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b/>
                <w:sz w:val="20"/>
                <w:szCs w:val="20"/>
              </w:rPr>
              <w:t>Urządzenie fabrycznie nowe,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D142C">
              <w:rPr>
                <w:rFonts w:ascii="Arial" w:hAnsi="Arial" w:cs="Arial"/>
                <w:b/>
                <w:sz w:val="20"/>
                <w:szCs w:val="20"/>
              </w:rPr>
              <w:t>wyprodukowane nie wcześniej niż w 2025 roku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Pompa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strzykawkowa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sterowana elektronicznie przeznaczona do stosowania u dorosłych, dzieci i noworodków do tymczasowego lub ciągłego podawania roztworów pozajelitowych i dojelitowych za pośrednictwem standardowych medycznych dróg dostępu. Do tych dróg należą m.in.: droga dożylna, dotętnicza, podskórna, zewnątrzoponowa i dojelitowa.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Zasilanie 230V 50 Hz, bezpośrednio z sieci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8703B4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8703B4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Klasa ochronności II lub równoważna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8703B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Masa pompy gotowej do użycia poniżej 2 kg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Wymiary pompy (Szer. x Wys. x Gł.) maks. . 260 mm x 70 mm x 170 mm lub maks. Objętość 3100 cm3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Dokładność podaży +/- 2%  zgodnie z normą IEC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IEC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60601-2-24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Menu pompy w języku polskim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Instrukcja obsługi zaimpleme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2D142C">
              <w:rPr>
                <w:rFonts w:ascii="Arial" w:hAnsi="Arial" w:cs="Arial"/>
                <w:sz w:val="20"/>
                <w:szCs w:val="20"/>
              </w:rPr>
              <w:t>towana w menu pompy, ułatwiająca obsługę urządzenia podczas zakładania strzykawki.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Stopień ochrony IP 44 lub równoważny, chroniący przed bryzgami wody z dowolnego kierunku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Kolorowy wyświetlacz min. 5", umożliwiający pełne dotykowe sterowanie i obsługę pompy; Wysoka rozdzielczość wyświetlanych informacji, min. 800x240 punktów.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Wbudowany uchwyt do przenoszenia pompy; Możliwość łączenia pomp w moduły i przenoszenia bez użycia stacji dokującej -  3 pompy na jednym uchwycie; Odłączalny chwyt do mocowania pompy do stojaków infuzyjnych, oraz szyn poziomych. Zakres regulacji min. 20-40mm. 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  <w:tcBorders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left w:val="nil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Strzykawka automatycznie mocowana od przodu, chroniona przed drzwiczki pompy; Mechanizm blokujący tłok strzykawki, zabezpieczający  przed swobodnym  niekontrolowanym przepływem działający niezależnie od położenia głowicy napędowej w stosunku do tłoka strzykawki. Aktualny status strzykawki wyświetlany na ekranie pompy w formie graficznej.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Pompa skalibrowana do pracy ze strzykawkami o objętości 2/3,5, 10, 20, 30 i 50/60 ml różnych typów oraz różnych producentów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Pompa wyposażona w moduł łączności bezprzewodowej WLAN w standardach 802.11a, 802.11b, 802.11g, 802.11n; umożliwiający podłączenie urządzenia do szpitalnego systemu informatycznego w standardzie HL7-IHE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zdalnej aktualizacji oprogramowania pompy, oraz biblioteki leków bez konieczności przerywania pracy pompy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Zakres prędkości infuzji min. 0,1 do 1800 ml/h ; Zmiana prędkości podaży bez przerywania infuzji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Wstępnie wybierana objętość w zakresie 0,10 - 9999 ml, w zakresie 0,1 ml — 99,99 ml programowana w krokach co 0,01 ml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Bezodstpw"/>
              <w:numPr>
                <w:ilvl w:val="0"/>
                <w:numId w:val="6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>Wstępnie wybierany czas w zakresie 00h01min - 99h59min</w:t>
            </w:r>
            <w:r w:rsidR="006B6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Bezodstpw"/>
              <w:numPr>
                <w:ilvl w:val="0"/>
                <w:numId w:val="6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>Automatyczna kalkulacja prędkości podaży po wprowadzeniu objętości i czasu</w:t>
            </w:r>
            <w:r w:rsidR="00A77AA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Bezodstpw"/>
              <w:numPr>
                <w:ilvl w:val="0"/>
                <w:numId w:val="6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 xml:space="preserve">Możliwość programowania parametrów infuzji w mg, </w:t>
            </w:r>
            <w:proofErr w:type="spellStart"/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>mcg</w:t>
            </w:r>
            <w:proofErr w:type="spellEnd"/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>ng</w:t>
            </w:r>
            <w:proofErr w:type="spellEnd"/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 xml:space="preserve">, IE, </w:t>
            </w:r>
            <w:proofErr w:type="spellStart"/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>mmol</w:t>
            </w:r>
            <w:proofErr w:type="spellEnd"/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 xml:space="preserve">, lub </w:t>
            </w:r>
            <w:proofErr w:type="spellStart"/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>mEq</w:t>
            </w:r>
            <w:proofErr w:type="spellEnd"/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 xml:space="preserve"> ,z uwzględnieniem lub nie masy ciała w odniesieniu do czasu ( np. mg/kg/min; mg/kg/h; mg/kg/24h)</w:t>
            </w:r>
            <w:r w:rsidR="00A77AA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0C1F43" w:rsidRPr="002D142C" w:rsidRDefault="000C1F43" w:rsidP="00020366">
            <w:pPr>
              <w:pStyle w:val="Bezodstpw"/>
              <w:numPr>
                <w:ilvl w:val="0"/>
                <w:numId w:val="6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</w:tcBorders>
            <w:vAlign w:val="center"/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 xml:space="preserve">Pompa wyposażona w system redukcji błędów dawki. 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6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>System automatycznej redukcji bolusa po alarmie ciśnienia okluzji</w:t>
            </w:r>
            <w:r w:rsidR="00A77AA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6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color w:val="000000"/>
                <w:sz w:val="20"/>
                <w:szCs w:val="20"/>
              </w:rPr>
              <w:t>Bolus: Prędkość bolusa możliwa do zaprogramowania w zakresie1-1800 ml/h</w:t>
            </w:r>
            <w:r w:rsidR="00A77AA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Tryby bolusa: Bolus na żądanie; Bolus programowany z automatyczną 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2D142C">
              <w:rPr>
                <w:rFonts w:ascii="Arial" w:hAnsi="Arial" w:cs="Arial"/>
                <w:sz w:val="20"/>
                <w:szCs w:val="20"/>
              </w:rPr>
              <w:t>lkulacją prędkości po wprowadzeniu objętości i czasu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Możliwość podaży bolusa w jednostkach mg,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mcg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mmol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mEq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oraz jednostkach wagowych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2D142C">
              <w:rPr>
                <w:rFonts w:ascii="Arial" w:hAnsi="Arial" w:cs="Arial"/>
                <w:sz w:val="20"/>
                <w:szCs w:val="20"/>
              </w:rPr>
              <w:t>ryb stand-by w zakresie od 1 min do 24 godzin z programowaniem co 1 minutę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Regulacja intensywności podśw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2D142C">
              <w:rPr>
                <w:rFonts w:ascii="Arial" w:hAnsi="Arial" w:cs="Arial"/>
                <w:sz w:val="20"/>
                <w:szCs w:val="20"/>
              </w:rPr>
              <w:t>etlenia na 9 poziomach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Biblioteka leków z moż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2D142C">
              <w:rPr>
                <w:rFonts w:ascii="Arial" w:hAnsi="Arial" w:cs="Arial"/>
                <w:sz w:val="20"/>
                <w:szCs w:val="20"/>
              </w:rPr>
              <w:t>iwością wpisu min. 500 leków, z możliwością podzielenia na min. 30 kategorii i 15 profili pacjentów; Każdy lek może być powiązany z limitami miękkimi, z limitami twardymi, oraz kolorowymi etykietami - min. 30 kombinacji kolorystycznych; Nazwa leku stale widoczna na wyświetlaczu pompy, również po wyst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2D142C">
              <w:rPr>
                <w:rFonts w:ascii="Arial" w:hAnsi="Arial" w:cs="Arial"/>
                <w:sz w:val="20"/>
                <w:szCs w:val="20"/>
              </w:rPr>
              <w:t>pieniu dowolnego alarmu; Możliwość wprowadzenia do pompy biblioteki leków bezpośrednio z komputera, lub zdalnie poprzez sieć szpitalną z centralnego serwera</w:t>
            </w:r>
            <w:r w:rsidR="006B6A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Pompa wyposażona w tryb TCI dla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Propofolu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Remifentanylu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Sufentanylu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, realizowanego przy użyciu algorytmu opartego na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trójkompartmentowym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 modelu farmakokinetycznym. Dostępne modele: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March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Schnider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Eleveld</w:t>
            </w:r>
            <w:proofErr w:type="spellEnd"/>
            <w:r w:rsidRPr="002D142C">
              <w:rPr>
                <w:rFonts w:ascii="Arial" w:hAnsi="Arial" w:cs="Arial"/>
                <w:sz w:val="20"/>
                <w:szCs w:val="20"/>
              </w:rPr>
              <w:t xml:space="preserve">, Minto, </w:t>
            </w:r>
            <w:proofErr w:type="spellStart"/>
            <w:r w:rsidRPr="002D142C">
              <w:rPr>
                <w:rFonts w:ascii="Arial" w:hAnsi="Arial" w:cs="Arial"/>
                <w:sz w:val="20"/>
                <w:szCs w:val="20"/>
              </w:rPr>
              <w:t>Gepts</w:t>
            </w:r>
            <w:proofErr w:type="spellEnd"/>
            <w:r w:rsidR="006B6A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Na ekranie pompy stale dostępna informacja o obecnym stężeniu w osoczu oraz obecnym stężeniu w miejscu oddziaływania</w:t>
            </w:r>
            <w:r w:rsidR="006B6A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Wizualizacja graficzna stanu znieczulenia dwoma różnymi kolorami, innymi dla osocza i miejsca oddziaływania</w:t>
            </w:r>
            <w:r w:rsidR="006B6A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pracy pompy w trybie PCA (znieczulenie kontrolowane przez pacjenta)</w:t>
            </w:r>
            <w:r w:rsidR="006B6A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Ciśnienie okluzji możliwe do ustawienia na min. 9 poziomach w zakresie od 75 do 900 mmHg; W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D142C">
              <w:rPr>
                <w:rFonts w:ascii="Arial" w:hAnsi="Arial" w:cs="Arial"/>
                <w:sz w:val="20"/>
                <w:szCs w:val="20"/>
              </w:rPr>
              <w:t>kaźnik ciśnienia okluzji stale widoczny na wyświetlaczu pompy</w:t>
            </w:r>
            <w:r w:rsidR="006B6A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 xml:space="preserve">Wbudowany akumulator litowo - jonowy; Zasilanie z wbudowanego akumulatora ok. 10 godz. przy przepływie 25 ml/h; Czas ponownego ładowania ok. 5 godz.; Na wyświetlaczu widoczna precyzyjna informacja o pozostałym czasie pracy </w:t>
            </w:r>
            <w:r w:rsidRPr="002D142C">
              <w:rPr>
                <w:rFonts w:ascii="Arial" w:hAnsi="Arial" w:cs="Arial"/>
                <w:sz w:val="20"/>
                <w:szCs w:val="20"/>
              </w:rPr>
              <w:lastRenderedPageBreak/>
              <w:t>akumulatora w godzinach i minutach; Automatyczne ładowanie akumulatora w pompie podł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2D142C">
              <w:rPr>
                <w:rFonts w:ascii="Arial" w:hAnsi="Arial" w:cs="Arial"/>
                <w:sz w:val="20"/>
                <w:szCs w:val="20"/>
              </w:rPr>
              <w:t>czonej do zasilania sieciowego</w:t>
            </w:r>
            <w:r w:rsidR="006B6A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Pobór mocy w normalnych warunkach pracy ok. 4 W</w:t>
            </w:r>
            <w:r w:rsidR="006B6A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Rozbudowany system alarmów wizualnych i d</w:t>
            </w:r>
            <w:r>
              <w:rPr>
                <w:rFonts w:ascii="Arial" w:hAnsi="Arial" w:cs="Arial"/>
                <w:sz w:val="20"/>
                <w:szCs w:val="20"/>
              </w:rPr>
              <w:t>ź</w:t>
            </w:r>
            <w:r w:rsidRPr="002D142C">
              <w:rPr>
                <w:rFonts w:ascii="Arial" w:hAnsi="Arial" w:cs="Arial"/>
                <w:sz w:val="20"/>
                <w:szCs w:val="20"/>
              </w:rPr>
              <w:t>więkowych</w:t>
            </w:r>
            <w:r w:rsidR="006B6A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Historia pracy dostępna z menu pompy, z możliwości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2D142C">
              <w:rPr>
                <w:rFonts w:ascii="Arial" w:hAnsi="Arial" w:cs="Arial"/>
                <w:sz w:val="20"/>
                <w:szCs w:val="20"/>
              </w:rPr>
              <w:t xml:space="preserve"> zapisania do 1000 zdarzeń</w:t>
            </w:r>
            <w:r w:rsidR="006B6A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2D142C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wprowadzenia informacji o dacie następnego przeglądu technicznego i wyświetlania jej przy każdym uruchomieniu pompy</w:t>
            </w:r>
            <w:r w:rsidR="006B6A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A77AAD">
            <w:pPr>
              <w:pStyle w:val="Akapitzlist"/>
              <w:numPr>
                <w:ilvl w:val="0"/>
                <w:numId w:val="6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bottom"/>
          </w:tcPr>
          <w:p w:rsidR="000C1F43" w:rsidRPr="002D142C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2D142C">
              <w:rPr>
                <w:rFonts w:ascii="Arial" w:hAnsi="Arial" w:cs="Arial"/>
                <w:sz w:val="20"/>
                <w:szCs w:val="20"/>
              </w:rPr>
              <w:t>Możliwość podglądu na wyświetlaczu  po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D142C">
              <w:rPr>
                <w:rFonts w:ascii="Arial" w:hAnsi="Arial" w:cs="Arial"/>
                <w:sz w:val="20"/>
                <w:szCs w:val="20"/>
              </w:rPr>
              <w:t>stawowych informacji o pompie przy wyłączonym urządzeniu  Numer seryjny, Nazwa Oddziału, Termin przeglądu techn.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7AAD" w:rsidTr="00B76062">
        <w:trPr>
          <w:gridAfter w:val="1"/>
          <w:wAfter w:w="12" w:type="dxa"/>
          <w:trHeight w:val="241"/>
        </w:trPr>
        <w:tc>
          <w:tcPr>
            <w:tcW w:w="562" w:type="dxa"/>
          </w:tcPr>
          <w:p w:rsidR="00A77AAD" w:rsidRPr="002D142C" w:rsidRDefault="00A77AAD" w:rsidP="00A77AAD">
            <w:pPr>
              <w:pStyle w:val="Akapitzlist"/>
              <w:numPr>
                <w:ilvl w:val="0"/>
                <w:numId w:val="8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A77AAD" w:rsidRPr="002D142C" w:rsidRDefault="00A77AAD" w:rsidP="00B76062">
            <w:pPr>
              <w:rPr>
                <w:rFonts w:ascii="Arial" w:hAnsi="Arial" w:cs="Arial"/>
                <w:sz w:val="20"/>
                <w:szCs w:val="20"/>
              </w:rPr>
            </w:pPr>
            <w:r w:rsidRPr="00A77AAD">
              <w:rPr>
                <w:rFonts w:ascii="Arial" w:hAnsi="Arial" w:cs="Arial"/>
                <w:sz w:val="20"/>
                <w:szCs w:val="20"/>
              </w:rPr>
              <w:t>Okres gwarancji w miesiącach (wymagany min. 24 m-ce)</w:t>
            </w:r>
            <w:r w:rsidR="006B6A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A77AAD" w:rsidRPr="002D142C" w:rsidRDefault="00A77AAD" w:rsidP="00B760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FE64E4" w:rsidRDefault="000C1F43" w:rsidP="00A77AAD">
            <w:pPr>
              <w:pStyle w:val="Akapitzlist"/>
              <w:numPr>
                <w:ilvl w:val="0"/>
                <w:numId w:val="8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F10C29" w:rsidRDefault="000C1F43" w:rsidP="00A33C91">
            <w:pPr>
              <w:rPr>
                <w:rFonts w:ascii="Arial" w:hAnsi="Arial" w:cs="Arial"/>
                <w:sz w:val="20"/>
                <w:szCs w:val="20"/>
              </w:rPr>
            </w:pPr>
            <w:r w:rsidRPr="00FE64E4">
              <w:rPr>
                <w:rFonts w:ascii="Arial" w:hAnsi="Arial" w:cs="Arial"/>
                <w:sz w:val="20"/>
                <w:szCs w:val="20"/>
              </w:rPr>
              <w:t>Paszport techniczny</w:t>
            </w:r>
            <w:r w:rsidR="006B6A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A33C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129EC" w:rsidTr="005B32B3">
        <w:trPr>
          <w:gridAfter w:val="1"/>
          <w:wAfter w:w="12" w:type="dxa"/>
          <w:trHeight w:hRule="exact" w:val="510"/>
        </w:trPr>
        <w:tc>
          <w:tcPr>
            <w:tcW w:w="9776" w:type="dxa"/>
            <w:gridSpan w:val="3"/>
            <w:shd w:val="clear" w:color="auto" w:fill="BFBFBF" w:themeFill="background1" w:themeFillShade="BF"/>
            <w:vAlign w:val="center"/>
          </w:tcPr>
          <w:p w:rsidR="00F129EC" w:rsidRPr="002D142C" w:rsidRDefault="00A45142" w:rsidP="00020366">
            <w:pPr>
              <w:ind w:left="-113" w:right="-108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CZĘŚĆ NR 3 - DEFIBRYLATOR (</w:t>
            </w:r>
            <w:r w:rsidR="00F129EC">
              <w:rPr>
                <w:rFonts w:ascii="Arial" w:hAnsi="Arial" w:cs="Arial"/>
                <w:b/>
                <w:szCs w:val="24"/>
              </w:rPr>
              <w:t>2</w:t>
            </w:r>
            <w:r w:rsidR="00F129EC" w:rsidRPr="002D142C">
              <w:rPr>
                <w:rFonts w:ascii="Arial" w:hAnsi="Arial" w:cs="Arial"/>
                <w:b/>
                <w:szCs w:val="24"/>
              </w:rPr>
              <w:t xml:space="preserve"> SZT.</w:t>
            </w:r>
            <w:r>
              <w:rPr>
                <w:rFonts w:ascii="Arial" w:hAnsi="Arial" w:cs="Arial"/>
                <w:b/>
                <w:szCs w:val="24"/>
              </w:rPr>
              <w:t>)</w:t>
            </w: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D142C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0C29">
              <w:rPr>
                <w:rFonts w:ascii="Arial" w:hAnsi="Arial" w:cs="Arial"/>
                <w:b/>
                <w:sz w:val="20"/>
                <w:szCs w:val="20"/>
              </w:rPr>
              <w:t>PRODUCENT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0C29">
              <w:rPr>
                <w:rFonts w:ascii="Arial" w:hAnsi="Arial" w:cs="Arial"/>
                <w:b/>
                <w:sz w:val="20"/>
                <w:szCs w:val="20"/>
              </w:rPr>
              <w:t>NAZWA / TYP (model)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b/>
                <w:sz w:val="20"/>
                <w:szCs w:val="20"/>
              </w:rPr>
              <w:t>KRAJ POCHODZENIA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0C29">
              <w:rPr>
                <w:rFonts w:ascii="Arial" w:hAnsi="Arial" w:cs="Arial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Dwa tryby pracy: ręczny i półautomatyczny AED.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Defibrylator przeznaczony do terapii pacjentów w różnym wieku: - zintegrowane łyżki dla dorosłych i dzieci – funkcja szybkiego przełączenia trybu pracy dorosły/dziecko (dedykowany przycisk lub przełącznik, bez konieczności otwierania menu ustawień).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Prezentacja danych na ekranie kolorowym LCD TFT o przekątnej min. 7 cali, rozdzielczość min. 800x480 pikseli.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Min. 20 poziomów energii wyładowania w zakresie od 1 do 200J, ograniczenie energii wyładowania do 50 J przy defibrylacji wewnętrznej.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Poziomy energii: 1,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2,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3,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4,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5,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6,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7,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8,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9,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10,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15,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20,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30,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50,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70,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100,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120,150,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170,</w:t>
            </w:r>
            <w:r w:rsidR="00F129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0C29">
              <w:rPr>
                <w:rFonts w:ascii="Arial" w:hAnsi="Arial" w:cs="Arial"/>
                <w:sz w:val="20"/>
                <w:szCs w:val="20"/>
              </w:rPr>
              <w:t>200J.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Czas ładowania do energii 150 J &lt; 5 sekund.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Czas ładowania do maksymalnej energii   (200 J) &lt; 6 sekund.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Czas uruchamiania defibrylatora z gotowością do podania wyładowania poniżej 15 sekund.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Dwufazowy kształt fali wyładowania – zapewniający wysoką skuteczność defibrylacji przy obniżonej (oszczędzającej pacjenta) energii wyładowania.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Zakres impedancji pacjenta dla defibrylacji zewnętrznej: 25-250 Ohmów.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Zakres impedancji pacjenta dla defibrylacji wewnętrznej: 15-250 Ohmów.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Możliwość defibrylacji za pomocą łyżek zewnętrznych, wewnętrznych i elektrod jednorazowych.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Defibrylacja przy użyciu odpowiednich elektrod samoprzylepnych.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Ustawianie poziomów energii przy pomocy dedykowanego pokrętła na płycie czołowej (przedniej) defibrylatora wraz z przypisanymi i nadrukowanymi wartościami energii dla każdej zmiany.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Przycisk ładowania impulsu defibracyjnego na płycie czołowej oraz łyżkach zewnętrznych.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Zmiana wybranej energii na mniejszą lub większą za pomocą pokrętła po naładowaniu defibrylatora, a przed defibrylacją. Brak konieczności anulowania lub wyładowania defibrylatora.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Przycisk wyładowania impulsu defibracyjnego na płycie czołowej oraz łyżkach zewnętrznych.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Przyciski na płycie czołowej defibrylatora podpisane polskimi nazwami.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System dopasowania impulsu defibrylacji w zależności od impedancji ciała pacjenta.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Automatyczne rozładowanie energii w przypadku niewykonania defibrylacji – możliwość zaprogramowania czasu do rozładowania (30, 60 i 90 sekund).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Wskaźnik sprawności defibrylatora w formie wyświetlacza na przedniej ścianie urządzenia.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Na łyżkach zewnętrznych wbudowany kilkustopniowy wskaźnik jakości kontaktu z pacjentem.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Konfigurowalny czas wstrzymania alarmu: 1, 2, 3, 5, 10 min lub nieokreślny czas.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Głośność alarmów konfigurowalna – min. 5 poziomów.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Głośność poleceń konfigurowalna – min. 5 poziomów.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Możliwość zmiany koloru krzywych na ekranie – min. 7 kolorów.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b/>
                <w:sz w:val="20"/>
                <w:szCs w:val="20"/>
              </w:rPr>
              <w:t>Kardiowersja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Wykonywanie  kardiowersji za pomocą: </w:t>
            </w:r>
          </w:p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- wielofunkcyjnych elektrod podłączonych do defibrylatora</w:t>
            </w:r>
          </w:p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- wielofunkcyjnych elektrod lub łyżek zewnętrznych oraz 3/5 odprowadzeniowych elektrod monitorujących.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Wyświetlanie na ekranie defibrylatora komunikatów(następnych kroków) niezbędnych do wykonania kardiowersji.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Kardiowersja synchroniczna z załamkiem R zapisu EKG. W trybie kardiowersji strzałki nad załamkami R elektrokardiogramu.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Wyświetlanie na ekranie defibrylatora informacji, że włączony jest tryb kardiowersji oraz podświetlany jest przycisk kardiowersji.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b/>
                <w:sz w:val="20"/>
                <w:szCs w:val="20"/>
              </w:rPr>
              <w:t>Tryb AED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Komendy głosowe oraz komunikaty na ekranie prowadzące proces reanimacji w trybie AED – w polskiej wersji językowej, zgodne z aktualnymi wytycznymi ERC/PRC.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Energia wyładowania 150J lub 170J lub 200 J dla dorosłych oraz 50 J dla dzieci i niemowląt.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W trybie AED – programowane przez użytkownika wartości </w:t>
            </w:r>
            <w:r w:rsidRPr="00F10C29">
              <w:rPr>
                <w:rFonts w:ascii="Arial" w:hAnsi="Arial" w:cs="Arial"/>
                <w:sz w:val="20"/>
                <w:szCs w:val="20"/>
              </w:rPr>
              <w:lastRenderedPageBreak/>
              <w:t>energii dla 1, 2 i 3 defibrylacji z energią do wyboru 150, 170, 200 J dla osoby dorosłej.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Analiza EKG oceniająca EKG pacjenta oraz jakość sygnału w celu określania czy defibrylacja jest wskazana oraz impedancję styku elektrod 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defibrylacyjnych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Wyświetlanie wskaźnika kontaktu ze skórą pacjenta w formie graficznej reprezentacji jakości kontaktu elektrod wielofunkcyjnych przy użyciu min. 3 kolorów.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W trybie AED możliwość wyświetlania krzywej 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pletyzmograficznej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 xml:space="preserve"> oraz monitorowanie SpO2 oraz tętna.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W przypadku niewskazanej defibrylacji możliwość konfiguracji czy defibrylator ma przejść w tryb monitorowania pacjenta czy przejść w tryb RKO z komunikatami głosowymi.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0C29">
              <w:rPr>
                <w:rFonts w:ascii="Arial" w:hAnsi="Arial" w:cs="Arial"/>
                <w:b/>
                <w:sz w:val="20"/>
                <w:szCs w:val="20"/>
              </w:rPr>
              <w:t>Tryb EKG i arytmii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Monitorowanie EKG pacjenta za pomocą 3 lub 7 odprowadzeń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Sygnał EKG z elektrod 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defibrylacyjnych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 xml:space="preserve"> i z elektrod EKG – z czytelną sygnalizacją braku kontaktu.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Pomiar częstości akcji serca we wszystkich trybach defibrylatora w zakresie min. 16 – 300 uderzeń na minutę dla osoby dorosłej oraz min. 16-350 uderzeń na minutę dla dziecka/niemowlęcia.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Wybór odprowadzenia z: elektrod EKG, łyżek 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defibrylacyjnych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 xml:space="preserve"> lub jednorazowych elektrod do defibrylacji stymulacji.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Wzmocnienie sygnału EKG. Regulacja ręczna: ¼x, ½x, 1x, 2x, 4x i automatyczna.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Układ monitorujący zabezpieczony przed impulsem defibrylatora – CF.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CMRR dla sygnału EKG: min. 105dB.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Filtr EKG o częstotliwości sieci zasilającej 50 Hz lub 60 Hz.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Automatyczne wykrywanie zaburzeń rytmu zagrażających życiu (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asystolia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>, migotanie komór, bradykardia, tachykardia).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Regulowane alarmy górnej i dolnej granicy częstości akcji serca.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Jednoczesna prezentacja 3 krzywych EKG na ekranie.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Złącze – wejście synchronizujące sygnał EKG z zewnętrznego kardiomonitora dowolnego producenta 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Wyposażenie defibrylatora: przewód EKG 3 odprowadzeniowy – 1 szt.  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b/>
                <w:sz w:val="20"/>
                <w:szCs w:val="20"/>
              </w:rPr>
              <w:t>Stymulacja nieinwazyjna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Tryb pracy: stały oraz na żądanie.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Defibrylacja synchroniczna: maksymalny czas od chwili wykrycia fali R do chwili wyładowania impulsu 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defibrylacyjnego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 xml:space="preserve"> do 25 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ms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Natężenie prądu stymulacji min. Od 10mA do 200mA ze skokiem co 5mA.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Czas trwania impulsu: do wyboru przez użytkownika 20 lub 40 ms.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Częstość: od 30 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imp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 xml:space="preserve">./min do 180 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imp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 xml:space="preserve">./min ze skokiem co 10 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imp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>./min.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Wyświetlanie na ekranie defibrylatora komunikatów(następnych kroków) niezbędnych do wykonania stymulacji pacjenta.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W komplecie elektrody jednorazowe do defibrylacji – 1szt.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b/>
                <w:sz w:val="20"/>
                <w:szCs w:val="20"/>
              </w:rPr>
              <w:t>Pomiar saturacji pacjenta – SpO2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Zakres pomiarowy saturacji: 0-100% z rozdzielczością 1%.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Zakres pomiarowy częstości tętna: 30-300 uderzeń na minutę z rozdzielczością 1 uderzenie na minutę.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Wyświetlanie wartości saturacji oraz krzywej 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pletyzmograficznej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 xml:space="preserve"> na ekranie urządzenia.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Możliwość stosowania sensorów 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Masimo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Nellcor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>/lub własnej producenta za pomocą dedykowanych kabli łączących.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Prezentacja wartości saturacji oraz krzywej 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pletyzmograficznej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 xml:space="preserve"> na ekranie urządzenia.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W komplecie czujnik saturacji dla dorosłych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b/>
                <w:sz w:val="20"/>
                <w:szCs w:val="20"/>
              </w:rPr>
              <w:t>Pomiar ciśnienia nieinwazyjnego – NIBP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Tryby pracy: automatyczny i ręczny.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Pomiar nieinwazyjny ciśnienia krwi (NIBP) metodą oscylometryczną. 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Możliwość ustawienia  pomiaru w czasie o zakresie powtarzania od 1 do 120 minut. (1, 2.5, 5, 10,15,30,60,120 minut)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Wyświetlane wartości ciśnień: skurczowe, rozkurczowe oraz średnie.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W komplecie mankiet wielorazowy w 3 rozmiarach (mały, średni, duży)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b/>
                <w:sz w:val="20"/>
                <w:szCs w:val="20"/>
              </w:rPr>
              <w:t>Drukarka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Rejestrator termiczny – szerokość zapisu min. 50 mm.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Przycisk drukowania uruchamia i zatrzymuje wydruk paska.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Stała prędkość wydruku 25 mm/s.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Rejestrowane dane: data, czas, parametry zapisywanego sygnału EKG, parametry defibrylacji. (energia rzeczywista wyładowania – dostarczona pacjentowi).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Drukowanie raportów min. : podsumowanie zdarzeń, trend funkcji życiowych, test funkcjonalny, konfiguracja, informacje o zdarzeniu.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0C29">
              <w:rPr>
                <w:rFonts w:ascii="Arial" w:hAnsi="Arial" w:cs="Arial"/>
                <w:b/>
                <w:sz w:val="20"/>
                <w:szCs w:val="20"/>
              </w:rPr>
              <w:t>Zintegrowane zasilanie sieciowo-akumulatorowe.</w:t>
            </w:r>
            <w:r w:rsidRPr="00F10C29">
              <w:rPr>
                <w:rFonts w:ascii="Arial" w:hAnsi="Arial" w:cs="Arial"/>
                <w:sz w:val="20"/>
                <w:szCs w:val="20"/>
              </w:rPr>
              <w:t xml:space="preserve"> Zasilacz i ładowarka akumulatorów fabrycznie wbudowane w defibrylator.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Ładowanie akumulatorów z sieci 100-240 V AC / 50 lub 60Hz.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Akumulatory bez efektu pamięci. Wskaźnik stanu akumulatorów na ekranie. Sygnał alarmowy (wizualny i dźwiękowy) niskiego stanu naładowania. 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Mechaniczna blokada zabezpieczająca przed przypadkowym wypadnięciem przewodu zasilającego.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Typ akumulatora – litowo-jonowy lub litowo-polimerowy, łatwo wymieniany w razie potrzeby bez udziału serwisu i bez konieczności użycia narzędzi.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Czas pracy na akumulatorze: 2,5 godz. W przypadku monitorowania pacjenta EKG, SpO2, EtCO2, NIBP(co 15 min) a następnie 20 defibrylacji, a w przypadku defibrylacji min. 100 wyładowań z energią 200J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Czas ładowani akumulatora do 100%: poniżej 3 godzin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Wskaźnik pojemności akumulatora na ekranie defibrylatora. W przypadku niskiego poziomu naładowania wskaźnik na płycie </w:t>
            </w:r>
            <w:r w:rsidRPr="00F10C29">
              <w:rPr>
                <w:rFonts w:ascii="Arial" w:hAnsi="Arial" w:cs="Arial"/>
                <w:sz w:val="20"/>
                <w:szCs w:val="20"/>
              </w:rPr>
              <w:lastRenderedPageBreak/>
              <w:t>czołowej miga, słychać sygnał dźwiękowy oraz po włączeniu defibrylatora wyświetlany jest komunikat o akumulatorze.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Temperatura pracy: min od 0 do +45ºC 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Temperatura przechowywania bez akumulatora: min. Od -20 do + 70ºC.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Praca w wilgotności: 15 – 95%.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Defibrylator odporny na upadek zgodnie z normą IEC 68-2-32 z min. 75 cm. Lub równoważną.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Urządzenie odporne na kurz i zalania cieczą – klasa szczelności obudowy min. IP54 – zarówno podczas pracy na zasilaniu sieciowym jak i akumulatorowym.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Urządzenie odporne na wstrząsy, upadki i uderzenia – zgodnie z normą IEC 68-2-32 (lub równoważną).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Spełnienie wymogów bezpieczeństwa zgodnie z EN 60601-2-4 i EN 60601-1 lub równoważnych.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Spełnianie wymagań normy EC 60601-1-2:2014/EN 60601-1-2:2015 oraz IEC 60601-1-2:2007/EN60601-1-2:2007 lub równoważnych.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Spełnianie norm bezpieczeństwa: EN60601-2-4:2011/GB9706.8-2009, EN 60601-1/A1:2013/GB9706.1-2007 lub równoważnych.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Zgodnie z normą 62304 niebezpieczeństwo wynikające z błędów oprogramowania zostały zminimalizowane przez zapewnienie zgodności produktu z wymaganiami dla oprogramowania.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Możliwość zainstalowania defibrylatora w ambulansie.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3"/>
        </w:trPr>
        <w:tc>
          <w:tcPr>
            <w:tcW w:w="562" w:type="dxa"/>
          </w:tcPr>
          <w:p w:rsidR="000C1F43" w:rsidRPr="002D142C" w:rsidRDefault="000C1F43" w:rsidP="00020366">
            <w:pPr>
              <w:pStyle w:val="Bezodstpw"/>
              <w:numPr>
                <w:ilvl w:val="0"/>
                <w:numId w:val="7"/>
              </w:numPr>
              <w:ind w:left="5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Możliwość zainstalowania defibrylatora na wózku jezdnym.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Uchwyt do zawieszenia na łóżku pacjenta (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demontowalny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Wbudowany uchwyt do przenoszenia.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Możliwość rozbudowy o opcje EtCO2 w strumieniu bocznym lub głównym. Pomiar EtCO2, </w:t>
            </w:r>
            <w:proofErr w:type="spellStart"/>
            <w:r w:rsidRPr="00F10C29">
              <w:rPr>
                <w:rFonts w:ascii="Arial" w:hAnsi="Arial" w:cs="Arial"/>
                <w:sz w:val="20"/>
                <w:szCs w:val="20"/>
              </w:rPr>
              <w:t>AwRR</w:t>
            </w:r>
            <w:proofErr w:type="spellEnd"/>
            <w:r w:rsidRPr="00F10C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Ciężar urządzenia do  9 kg z elektrodami zewnętrznymi i akumulatorem.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Automatyczny test sprawności defibrylatora z sygnalizacją dźwiękową i wizualną ewentualnego błędu.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Krytyczne podzespoły urządzenia testowane automatycznie nie rzadziej niż co godzinę. Pełny test automatyczny nie rzadziej niż raz w tygodniu.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Możliwość eksportu i importu konfiguracji urządzenia za pomocą dysku USB.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Polska wersja językowa – komunikaty ekranowe i głosowe, dokumentacja, opisy elementów sterujących.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54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5954" w:type="dxa"/>
          </w:tcPr>
          <w:p w:rsidR="000C1F43" w:rsidRPr="00F10C29" w:rsidRDefault="000C1F43" w:rsidP="0002036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 xml:space="preserve">Wózek jezdny z koszykiem na akcesoria i rączką do prowadzenia 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Instrukcja obsługi w języku polskim w formie papierowej.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Certyfikaty dopuszczenia do stosowania w medycynie: polskie oraz międzynarodowe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Montaż, uruchomienie i szkolenie obsługi w cenie urządzenia.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1F43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0C1F43" w:rsidRPr="002D142C" w:rsidRDefault="000C1F43" w:rsidP="00020366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0C1F43" w:rsidRPr="00F10C29" w:rsidRDefault="000C1F43" w:rsidP="00020366">
            <w:pPr>
              <w:rPr>
                <w:rFonts w:ascii="Arial" w:hAnsi="Arial" w:cs="Arial"/>
                <w:sz w:val="20"/>
                <w:szCs w:val="20"/>
              </w:rPr>
            </w:pPr>
            <w:r w:rsidRPr="00F10C29">
              <w:rPr>
                <w:rFonts w:ascii="Arial" w:hAnsi="Arial" w:cs="Arial"/>
                <w:sz w:val="20"/>
                <w:szCs w:val="20"/>
              </w:rPr>
              <w:t>Autoryzowany serwis na terenie Polski z dostępem do oryginalnych części zamiennych od producenta</w:t>
            </w:r>
            <w:r w:rsidR="00A77A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0C1F43" w:rsidRPr="002D142C" w:rsidRDefault="000C1F43" w:rsidP="0002036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7AAD" w:rsidRPr="002D142C" w:rsidTr="004C2BFA">
        <w:trPr>
          <w:gridAfter w:val="1"/>
          <w:wAfter w:w="12" w:type="dxa"/>
          <w:trHeight w:val="241"/>
        </w:trPr>
        <w:tc>
          <w:tcPr>
            <w:tcW w:w="562" w:type="dxa"/>
          </w:tcPr>
          <w:p w:rsidR="00A77AAD" w:rsidRPr="002D142C" w:rsidRDefault="00A77AAD" w:rsidP="00A77AAD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</w:tcPr>
          <w:p w:rsidR="00A77AAD" w:rsidRPr="008703B4" w:rsidRDefault="00A77AAD" w:rsidP="00A77AAD">
            <w:pPr>
              <w:rPr>
                <w:rFonts w:ascii="Arial" w:hAnsi="Arial" w:cs="Arial"/>
                <w:sz w:val="20"/>
                <w:szCs w:val="20"/>
              </w:rPr>
            </w:pPr>
            <w:r w:rsidRPr="00A77AAD">
              <w:rPr>
                <w:rFonts w:ascii="Arial" w:hAnsi="Arial" w:cs="Arial"/>
                <w:sz w:val="20"/>
                <w:szCs w:val="20"/>
              </w:rPr>
              <w:t>Okres gwarancji w miesiącach (wymagany min. 24 m-ce).</w:t>
            </w:r>
          </w:p>
        </w:tc>
        <w:tc>
          <w:tcPr>
            <w:tcW w:w="3260" w:type="dxa"/>
          </w:tcPr>
          <w:p w:rsidR="00A77AAD" w:rsidRPr="002D142C" w:rsidRDefault="00A77AAD" w:rsidP="00A77AA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7AAD" w:rsidRPr="002D142C" w:rsidTr="00F129EC">
        <w:trPr>
          <w:gridAfter w:val="1"/>
          <w:wAfter w:w="12" w:type="dxa"/>
          <w:trHeight w:val="241"/>
        </w:trPr>
        <w:tc>
          <w:tcPr>
            <w:tcW w:w="562" w:type="dxa"/>
          </w:tcPr>
          <w:p w:rsidR="00A77AAD" w:rsidRPr="002D142C" w:rsidRDefault="00A77AAD" w:rsidP="00A77AAD">
            <w:pPr>
              <w:pStyle w:val="Akapitzlist"/>
              <w:numPr>
                <w:ilvl w:val="0"/>
                <w:numId w:val="7"/>
              </w:numPr>
              <w:ind w:left="5" w:right="0" w:hanging="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954" w:type="dxa"/>
            <w:vAlign w:val="center"/>
          </w:tcPr>
          <w:p w:rsidR="00A77AAD" w:rsidRPr="00F10C29" w:rsidRDefault="00A77AAD" w:rsidP="00A77AAD">
            <w:pPr>
              <w:rPr>
                <w:rFonts w:ascii="Arial" w:hAnsi="Arial" w:cs="Arial"/>
                <w:sz w:val="20"/>
                <w:szCs w:val="20"/>
              </w:rPr>
            </w:pPr>
            <w:r w:rsidRPr="008703B4">
              <w:rPr>
                <w:rFonts w:ascii="Arial" w:hAnsi="Arial" w:cs="Arial"/>
                <w:sz w:val="20"/>
                <w:szCs w:val="20"/>
              </w:rPr>
              <w:t>Paszport techniczny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A77AAD" w:rsidRPr="002D142C" w:rsidRDefault="00A77AAD" w:rsidP="00A77AA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E64E4" w:rsidRDefault="00FE64E4" w:rsidP="00FE64E4">
      <w:pPr>
        <w:spacing w:after="0" w:line="276" w:lineRule="auto"/>
        <w:rPr>
          <w:rFonts w:asciiTheme="minorHAnsi" w:hAnsiTheme="minorHAnsi" w:cstheme="minorHAnsi"/>
          <w:b/>
          <w:bCs/>
          <w:color w:val="000000" w:themeColor="text1"/>
          <w:sz w:val="22"/>
        </w:rPr>
      </w:pPr>
    </w:p>
    <w:sectPr w:rsidR="00FE64E4" w:rsidSect="004C650A">
      <w:headerReference w:type="even" r:id="rId8"/>
      <w:headerReference w:type="default" r:id="rId9"/>
      <w:headerReference w:type="first" r:id="rId10"/>
      <w:pgSz w:w="11906" w:h="16838"/>
      <w:pgMar w:top="1440" w:right="1080" w:bottom="1440" w:left="1080" w:header="708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B2C" w:rsidRDefault="00442B2C">
      <w:pPr>
        <w:spacing w:after="0" w:line="240" w:lineRule="auto"/>
      </w:pPr>
      <w:r>
        <w:separator/>
      </w:r>
    </w:p>
  </w:endnote>
  <w:endnote w:type="continuationSeparator" w:id="0">
    <w:p w:rsidR="00442B2C" w:rsidRDefault="0044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emens Sans">
    <w:altName w:val="Calibri"/>
    <w:charset w:val="01"/>
    <w:family w:val="swiss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HA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B2C" w:rsidRDefault="00442B2C">
      <w:pPr>
        <w:spacing w:after="0" w:line="240" w:lineRule="auto"/>
      </w:pPr>
      <w:r>
        <w:separator/>
      </w:r>
    </w:p>
  </w:footnote>
  <w:footnote w:type="continuationSeparator" w:id="0">
    <w:p w:rsidR="00442B2C" w:rsidRDefault="00442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247" w:rsidRDefault="00BA024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247" w:rsidRDefault="007501CD">
    <w:pPr>
      <w:pStyle w:val="Nagwek"/>
    </w:pPr>
    <w:r>
      <w:rPr>
        <w:noProof/>
      </w:rPr>
      <w:drawing>
        <wp:anchor distT="0" distB="0" distL="0" distR="0" simplePos="0" relativeHeight="251657216" behindDoc="1" locked="0" layoutInCell="0" allowOverlap="1">
          <wp:simplePos x="0" y="0"/>
          <wp:positionH relativeFrom="margin">
            <wp:align>center</wp:align>
          </wp:positionH>
          <wp:positionV relativeFrom="paragraph">
            <wp:posOffset>-306705</wp:posOffset>
          </wp:positionV>
          <wp:extent cx="5759450" cy="57277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A0247" w:rsidRDefault="00BA0247">
    <w:pPr>
      <w:spacing w:after="0"/>
      <w:jc w:val="right"/>
      <w:rPr>
        <w:rFonts w:ascii="Tahoma" w:hAnsi="Tahoma" w:cs="Tahoma"/>
        <w:i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247" w:rsidRDefault="007501CD">
    <w:pPr>
      <w:pStyle w:val="Nagwek"/>
    </w:pPr>
    <w:r>
      <w:rPr>
        <w:noProof/>
      </w:rPr>
      <w:drawing>
        <wp:anchor distT="0" distB="0" distL="0" distR="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paragraph">
            <wp:posOffset>-306705</wp:posOffset>
          </wp:positionV>
          <wp:extent cx="5759450" cy="572770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A0247" w:rsidRDefault="00BA0247">
    <w:pPr>
      <w:spacing w:after="0"/>
      <w:jc w:val="right"/>
      <w:rPr>
        <w:rFonts w:ascii="Tahoma" w:hAnsi="Tahoma" w:cs="Tahoma"/>
        <w:i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5113"/>
    <w:multiLevelType w:val="hybridMultilevel"/>
    <w:tmpl w:val="D7847454"/>
    <w:lvl w:ilvl="0" w:tplc="A3A45C1E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C2722"/>
    <w:multiLevelType w:val="multilevel"/>
    <w:tmpl w:val="F0464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6B0126A"/>
    <w:multiLevelType w:val="multilevel"/>
    <w:tmpl w:val="C35885C6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860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824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>
    <w:nsid w:val="311F3286"/>
    <w:multiLevelType w:val="multilevel"/>
    <w:tmpl w:val="0FE2BD14"/>
    <w:lvl w:ilvl="0">
      <w:start w:val="1"/>
      <w:numFmt w:val="decimal"/>
      <w:pStyle w:val="Wyp1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36120DAB"/>
    <w:multiLevelType w:val="hybridMultilevel"/>
    <w:tmpl w:val="1EB2DF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121957"/>
    <w:multiLevelType w:val="multilevel"/>
    <w:tmpl w:val="9DE4B55E"/>
    <w:lvl w:ilvl="0">
      <w:numFmt w:val="bullet"/>
      <w:pStyle w:val="Aufzhlung"/>
      <w:lvlText w:val=""/>
      <w:lvlJc w:val="left"/>
      <w:pPr>
        <w:tabs>
          <w:tab w:val="num" w:pos="0"/>
        </w:tabs>
        <w:ind w:left="170" w:hanging="170"/>
      </w:pPr>
      <w:rPr>
        <w:rFonts w:ascii="Wingdings" w:hAnsi="Wingdings" w:cs="Wingdings" w:hint="default"/>
        <w:strike w:val="0"/>
        <w:dstrike w:val="0"/>
        <w:vanish w:val="0"/>
        <w:color w:val="003399"/>
        <w:position w:val="0"/>
        <w:sz w:val="12"/>
        <w:vertAlign w:val="baseline"/>
      </w:rPr>
    </w:lvl>
    <w:lvl w:ilvl="1">
      <w:numFmt w:val="bullet"/>
      <w:lvlText w:val="–"/>
      <w:lvlJc w:val="left"/>
      <w:pPr>
        <w:tabs>
          <w:tab w:val="num" w:pos="0"/>
        </w:tabs>
        <w:ind w:left="340" w:hanging="170"/>
      </w:pPr>
      <w:rPr>
        <w:rFonts w:ascii="Siemens Sans" w:hAnsi="Siemens Sans" w:cs="Siemens Sans" w:hint="default"/>
        <w:b w:val="0"/>
        <w:i w:val="0"/>
        <w:strike w:val="0"/>
        <w:dstrike w:val="0"/>
        <w:vanish w:val="0"/>
        <w:color w:val="auto"/>
        <w:position w:val="0"/>
        <w:sz w:val="12"/>
        <w:vertAlign w:val="baseline"/>
      </w:rPr>
    </w:lvl>
    <w:lvl w:ilvl="2">
      <w:numFmt w:val="bullet"/>
      <w:lvlText w:val="-"/>
      <w:lvlJc w:val="left"/>
      <w:pPr>
        <w:tabs>
          <w:tab w:val="num" w:pos="0"/>
        </w:tabs>
        <w:ind w:left="2500" w:hanging="700"/>
      </w:pPr>
      <w:rPr>
        <w:rFonts w:ascii="Siemens Sans" w:hAnsi="Siemens Sans" w:cs="Siemens San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E882120"/>
    <w:multiLevelType w:val="hybridMultilevel"/>
    <w:tmpl w:val="4F54B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F706B8"/>
    <w:multiLevelType w:val="hybridMultilevel"/>
    <w:tmpl w:val="1EB2DFE8"/>
    <w:lvl w:ilvl="0" w:tplc="770EE8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0247"/>
    <w:rsid w:val="00001DB6"/>
    <w:rsid w:val="00020366"/>
    <w:rsid w:val="000831AC"/>
    <w:rsid w:val="000B63F3"/>
    <w:rsid w:val="000C1F43"/>
    <w:rsid w:val="001E5B0F"/>
    <w:rsid w:val="002723DE"/>
    <w:rsid w:val="002D142C"/>
    <w:rsid w:val="00442B2C"/>
    <w:rsid w:val="004C650A"/>
    <w:rsid w:val="00504C72"/>
    <w:rsid w:val="00531D08"/>
    <w:rsid w:val="005500E1"/>
    <w:rsid w:val="005B253B"/>
    <w:rsid w:val="005F61D8"/>
    <w:rsid w:val="006B6A8D"/>
    <w:rsid w:val="006C3718"/>
    <w:rsid w:val="007501CD"/>
    <w:rsid w:val="008703B4"/>
    <w:rsid w:val="009E6093"/>
    <w:rsid w:val="00A45142"/>
    <w:rsid w:val="00A77AAD"/>
    <w:rsid w:val="00A84483"/>
    <w:rsid w:val="00AB4FA3"/>
    <w:rsid w:val="00AB6C4B"/>
    <w:rsid w:val="00AF0609"/>
    <w:rsid w:val="00B20CE2"/>
    <w:rsid w:val="00BA0247"/>
    <w:rsid w:val="00DC5B71"/>
    <w:rsid w:val="00E11F1D"/>
    <w:rsid w:val="00E271EC"/>
    <w:rsid w:val="00E6769F"/>
    <w:rsid w:val="00E70D4E"/>
    <w:rsid w:val="00EE6140"/>
    <w:rsid w:val="00F10C29"/>
    <w:rsid w:val="00F129EC"/>
    <w:rsid w:val="00F432EF"/>
    <w:rsid w:val="00FE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09C5"/>
    <w:pPr>
      <w:spacing w:after="15" w:line="266" w:lineRule="auto"/>
      <w:ind w:left="5" w:right="38" w:hanging="5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12A3E"/>
    <w:pPr>
      <w:keepNext/>
      <w:keepLines/>
      <w:spacing w:line="259" w:lineRule="auto"/>
      <w:ind w:left="149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369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B5E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next w:val="Normalny"/>
    <w:link w:val="Nagwek4Znak"/>
    <w:uiPriority w:val="9"/>
    <w:qFormat/>
    <w:rsid w:val="009B1551"/>
    <w:pPr>
      <w:keepNext/>
      <w:keepLines/>
      <w:numPr>
        <w:ilvl w:val="3"/>
        <w:numId w:val="1"/>
      </w:numPr>
      <w:spacing w:after="3"/>
      <w:ind w:left="425" w:hanging="425"/>
      <w:jc w:val="right"/>
      <w:outlineLvl w:val="3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B1551"/>
    <w:pPr>
      <w:keepNext/>
      <w:keepLines/>
      <w:numPr>
        <w:ilvl w:val="4"/>
        <w:numId w:val="1"/>
      </w:numPr>
      <w:spacing w:before="40" w:after="0" w:line="240" w:lineRule="auto"/>
      <w:ind w:right="0"/>
      <w:jc w:val="right"/>
      <w:outlineLvl w:val="4"/>
    </w:pPr>
    <w:rPr>
      <w:rFonts w:ascii="Calibri Light" w:hAnsi="Calibri Light"/>
      <w:color w:val="2E74B5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9B1551"/>
    <w:pPr>
      <w:numPr>
        <w:ilvl w:val="5"/>
        <w:numId w:val="1"/>
      </w:numPr>
      <w:spacing w:before="240" w:after="60" w:line="240" w:lineRule="auto"/>
      <w:ind w:right="0"/>
      <w:jc w:val="left"/>
      <w:outlineLvl w:val="5"/>
    </w:pPr>
    <w:rPr>
      <w:i/>
      <w:color w:val="auto"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B1551"/>
    <w:pPr>
      <w:numPr>
        <w:ilvl w:val="6"/>
        <w:numId w:val="1"/>
      </w:numPr>
      <w:spacing w:before="240" w:after="60" w:line="240" w:lineRule="auto"/>
      <w:ind w:right="0"/>
      <w:jc w:val="left"/>
      <w:outlineLvl w:val="6"/>
    </w:pPr>
    <w:rPr>
      <w:rFonts w:ascii="Arial" w:hAnsi="Arial"/>
      <w:color w:val="auto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B1551"/>
    <w:pPr>
      <w:keepNext/>
      <w:keepLines/>
      <w:numPr>
        <w:ilvl w:val="7"/>
        <w:numId w:val="1"/>
      </w:numPr>
      <w:spacing w:before="200" w:after="0" w:line="276" w:lineRule="auto"/>
      <w:ind w:right="0"/>
      <w:jc w:val="left"/>
      <w:outlineLvl w:val="7"/>
    </w:pPr>
    <w:rPr>
      <w:rFonts w:ascii="Calibri Light" w:hAnsi="Calibri Light"/>
      <w:color w:val="404040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9B1551"/>
    <w:pPr>
      <w:numPr>
        <w:ilvl w:val="8"/>
        <w:numId w:val="1"/>
      </w:numPr>
      <w:spacing w:before="240" w:after="60" w:line="240" w:lineRule="auto"/>
      <w:ind w:right="0"/>
      <w:jc w:val="left"/>
      <w:outlineLvl w:val="8"/>
    </w:pPr>
    <w:rPr>
      <w:rFonts w:ascii="Arial" w:hAnsi="Arial"/>
      <w:b/>
      <w:i/>
      <w:color w:val="auto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0229C"/>
  </w:style>
  <w:style w:type="character" w:customStyle="1" w:styleId="StopkaZnak">
    <w:name w:val="Stopka Znak"/>
    <w:basedOn w:val="Domylnaczcionkaakapitu"/>
    <w:link w:val="Stopka"/>
    <w:uiPriority w:val="99"/>
    <w:qFormat/>
    <w:rsid w:val="0080229C"/>
  </w:style>
  <w:style w:type="character" w:customStyle="1" w:styleId="AkapitzlistZnak">
    <w:name w:val="Akapit z listą Znak"/>
    <w:link w:val="Akapitzlist"/>
    <w:qFormat/>
    <w:locked/>
    <w:rsid w:val="00DD09C5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12A3E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FontStyle15">
    <w:name w:val="Font Style15"/>
    <w:qFormat/>
    <w:rsid w:val="005935B9"/>
    <w:rPr>
      <w:rFonts w:ascii="Tahoma" w:eastAsia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sid w:val="005077A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077A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077A2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3697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6B5EB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6B5EBD"/>
    <w:rPr>
      <w:rFonts w:ascii="Arial" w:eastAsia="Times New Roman" w:hAnsi="Arial" w:cs="Arial"/>
      <w:sz w:val="21"/>
      <w:szCs w:val="21"/>
      <w:lang w:val="en-GB" w:eastAsia="en-GB"/>
    </w:rPr>
  </w:style>
  <w:style w:type="character" w:customStyle="1" w:styleId="StandardZnak">
    <w:name w:val="Standard Znak"/>
    <w:link w:val="Standard"/>
    <w:qFormat/>
    <w:rsid w:val="006B5E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p1Znak">
    <w:name w:val="Wyp 1 Znak"/>
    <w:basedOn w:val="Domylnaczcionkaakapitu"/>
    <w:link w:val="Wyp1"/>
    <w:uiPriority w:val="99"/>
    <w:qFormat/>
    <w:locked/>
    <w:rsid w:val="00137D5A"/>
    <w:rPr>
      <w:rFonts w:ascii="Arial" w:eastAsia="Calibri" w:hAnsi="Arial" w:cs="Arial"/>
      <w:sz w:val="20"/>
    </w:rPr>
  </w:style>
  <w:style w:type="character" w:customStyle="1" w:styleId="Wyp3Znak">
    <w:name w:val="Wyp 3 Znak"/>
    <w:basedOn w:val="Domylnaczcionkaakapitu"/>
    <w:link w:val="Wyp3"/>
    <w:uiPriority w:val="99"/>
    <w:qFormat/>
    <w:locked/>
    <w:rsid w:val="00137D5A"/>
    <w:rPr>
      <w:rFonts w:ascii="Times New Roman" w:eastAsia="Calibri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137D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9B1551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9B1551"/>
    <w:rPr>
      <w:rFonts w:ascii="Calibri Light" w:eastAsia="Times New Roman" w:hAnsi="Calibri Light" w:cs="Times New Roman"/>
      <w:color w:val="2E74B5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9B1551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9B155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9B1551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9B1551"/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customStyle="1" w:styleId="Domylnaczcionkaakapitu1">
    <w:name w:val="Domyślna czcionka akapitu1"/>
    <w:qFormat/>
    <w:rsid w:val="008744E8"/>
  </w:style>
  <w:style w:type="character" w:customStyle="1" w:styleId="Teksttreci">
    <w:name w:val="Tekst treści_"/>
    <w:link w:val="Teksttreci1"/>
    <w:qFormat/>
    <w:locked/>
    <w:rsid w:val="008744E8"/>
    <w:rPr>
      <w:sz w:val="18"/>
      <w:shd w:val="clear" w:color="auto" w:fill="FFFFFF"/>
    </w:rPr>
  </w:style>
  <w:style w:type="character" w:customStyle="1" w:styleId="Teksttreci0">
    <w:name w:val="Tekst treści"/>
    <w:qFormat/>
    <w:rsid w:val="008744E8"/>
  </w:style>
  <w:style w:type="character" w:customStyle="1" w:styleId="Teksttreci3">
    <w:name w:val="Tekst treści (3)_"/>
    <w:link w:val="Teksttreci31"/>
    <w:qFormat/>
    <w:locked/>
    <w:rsid w:val="008744E8"/>
    <w:rPr>
      <w:b/>
      <w:sz w:val="18"/>
      <w:shd w:val="clear" w:color="auto" w:fill="FFFFFF"/>
    </w:rPr>
  </w:style>
  <w:style w:type="character" w:customStyle="1" w:styleId="TeksttreciPogrubienie">
    <w:name w:val="Tekst treści + Pogrubienie"/>
    <w:qFormat/>
    <w:rsid w:val="008744E8"/>
    <w:rPr>
      <w:b/>
      <w:sz w:val="18"/>
    </w:rPr>
  </w:style>
  <w:style w:type="character" w:customStyle="1" w:styleId="Teksttreci4">
    <w:name w:val="Tekst treści4"/>
    <w:qFormat/>
    <w:rsid w:val="008744E8"/>
    <w:rPr>
      <w:sz w:val="18"/>
    </w:rPr>
  </w:style>
  <w:style w:type="character" w:customStyle="1" w:styleId="TeksttreciPogrubienie2">
    <w:name w:val="Tekst treści + Pogrubienie2"/>
    <w:qFormat/>
    <w:rsid w:val="008744E8"/>
    <w:rPr>
      <w:b/>
      <w:i/>
      <w:sz w:val="18"/>
    </w:rPr>
  </w:style>
  <w:style w:type="character" w:customStyle="1" w:styleId="fbullets">
    <w:name w:val="f_bullets"/>
    <w:basedOn w:val="Domylnaczcionkaakapitu"/>
    <w:qFormat/>
    <w:rsid w:val="008744E8"/>
    <w:rPr>
      <w:rFonts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744E8"/>
    <w:rPr>
      <w:rFonts w:ascii="Segoe UI" w:eastAsiaTheme="minorEastAsia" w:hAnsi="Segoe UI" w:cs="Segoe UI"/>
      <w:sz w:val="18"/>
      <w:szCs w:val="18"/>
    </w:rPr>
  </w:style>
  <w:style w:type="character" w:customStyle="1" w:styleId="apple-converted-space">
    <w:name w:val="apple-converted-space"/>
    <w:basedOn w:val="Domylnaczcionkaakapitu"/>
    <w:qFormat/>
    <w:rsid w:val="008744E8"/>
    <w:rPr>
      <w:rFonts w:cs="Times New Roman"/>
    </w:rPr>
  </w:style>
  <w:style w:type="character" w:customStyle="1" w:styleId="Hipercze1">
    <w:name w:val="Hiperłącze1"/>
    <w:qFormat/>
    <w:rsid w:val="00C07B2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7092C"/>
    <w:rPr>
      <w:color w:val="0563C1"/>
      <w:u w:val="single"/>
    </w:rPr>
  </w:style>
  <w:style w:type="character" w:styleId="Odwoanieintensywne">
    <w:name w:val="Intense Reference"/>
    <w:basedOn w:val="Domylnaczcionkaakapitu"/>
    <w:uiPriority w:val="32"/>
    <w:qFormat/>
    <w:rsid w:val="00FB756A"/>
    <w:rPr>
      <w:b/>
      <w:bCs/>
      <w:smallCaps/>
      <w:color w:val="4472C4" w:themeColor="accent1"/>
      <w:spacing w:val="5"/>
    </w:rPr>
  </w:style>
  <w:style w:type="character" w:styleId="Wyrnienieintensywne">
    <w:name w:val="Intense Emphasis"/>
    <w:basedOn w:val="Domylnaczcionkaakapitu"/>
    <w:uiPriority w:val="21"/>
    <w:qFormat/>
    <w:rsid w:val="00B01FA3"/>
    <w:rPr>
      <w:i/>
      <w:iCs/>
      <w:color w:val="4472C4" w:themeColor="accent1"/>
    </w:rPr>
  </w:style>
  <w:style w:type="character" w:customStyle="1" w:styleId="TytuZnak">
    <w:name w:val="Tytuł Znak"/>
    <w:basedOn w:val="Domylnaczcionkaakapitu"/>
    <w:link w:val="Tytu"/>
    <w:uiPriority w:val="10"/>
    <w:qFormat/>
    <w:rsid w:val="00B01FA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01FA3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B01FA3"/>
    <w:rPr>
      <w:i/>
      <w:iCs/>
      <w:color w:val="404040" w:themeColor="text1" w:themeTint="BF"/>
      <w:kern w:val="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01FA3"/>
    <w:rPr>
      <w:i/>
      <w:iCs/>
      <w:color w:val="2F5496" w:themeColor="accent1" w:themeShade="BF"/>
      <w:kern w:val="2"/>
    </w:rPr>
  </w:style>
  <w:style w:type="character" w:customStyle="1" w:styleId="BezodstpwZnak">
    <w:name w:val="Bez odstępów Znak"/>
    <w:link w:val="Bezodstpw"/>
    <w:qFormat/>
    <w:locked/>
    <w:rsid w:val="00B01FA3"/>
    <w:rPr>
      <w:rFonts w:eastAsiaTheme="minorEastAsia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01FA3"/>
    <w:rPr>
      <w:kern w:val="2"/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semiHidden/>
    <w:unhideWhenUsed/>
    <w:qFormat/>
    <w:rsid w:val="00B01FA3"/>
    <w:rPr>
      <w:vertAlign w:val="superscript"/>
    </w:rPr>
  </w:style>
  <w:style w:type="character" w:customStyle="1" w:styleId="Znakiprzypiswdolnych">
    <w:name w:val="Znaki przypisów dolnych"/>
    <w:qFormat/>
    <w:rsid w:val="004C650A"/>
    <w:rPr>
      <w:vertAlign w:val="superscript"/>
    </w:rPr>
  </w:style>
  <w:style w:type="character" w:styleId="Odwoanieprzypisudolnego">
    <w:name w:val="footnote reference"/>
    <w:rsid w:val="004C650A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01FA3"/>
    <w:rPr>
      <w:kern w:val="2"/>
      <w:sz w:val="20"/>
      <w:szCs w:val="20"/>
    </w:rPr>
  </w:style>
  <w:style w:type="character" w:customStyle="1" w:styleId="Znakiprzypiswkocowychuser">
    <w:name w:val="Znaki przypisów końcowych (user)"/>
    <w:basedOn w:val="Domylnaczcionkaakapitu"/>
    <w:uiPriority w:val="99"/>
    <w:semiHidden/>
    <w:unhideWhenUsed/>
    <w:qFormat/>
    <w:rsid w:val="00B01FA3"/>
    <w:rPr>
      <w:vertAlign w:val="superscript"/>
    </w:rPr>
  </w:style>
  <w:style w:type="character" w:customStyle="1" w:styleId="Znakiprzypiswkocowych">
    <w:name w:val="Znaki przypisów końcowych"/>
    <w:qFormat/>
    <w:rsid w:val="004C650A"/>
    <w:rPr>
      <w:vertAlign w:val="superscript"/>
    </w:rPr>
  </w:style>
  <w:style w:type="character" w:styleId="Odwoanieprzypisukocowego">
    <w:name w:val="endnote reference"/>
    <w:rsid w:val="004C650A"/>
    <w:rPr>
      <w:vertAlign w:val="superscript"/>
    </w:rPr>
  </w:style>
  <w:style w:type="character" w:customStyle="1" w:styleId="PodtytuZnak1">
    <w:name w:val="Podtytuł Znak1"/>
    <w:basedOn w:val="Domylnaczcionkaakapitu"/>
    <w:uiPriority w:val="11"/>
    <w:qFormat/>
    <w:rsid w:val="00B01FA3"/>
    <w:rPr>
      <w:color w:val="595959"/>
      <w:sz w:val="28"/>
      <w:szCs w:val="2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01FA3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qFormat/>
    <w:rsid w:val="00E1689E"/>
  </w:style>
  <w:style w:type="character" w:customStyle="1" w:styleId="eop">
    <w:name w:val="eop"/>
    <w:basedOn w:val="Domylnaczcionkaakapitu"/>
    <w:qFormat/>
    <w:rsid w:val="00E1689E"/>
  </w:style>
  <w:style w:type="paragraph" w:styleId="Nagwek">
    <w:name w:val="header"/>
    <w:basedOn w:val="Normalny"/>
    <w:next w:val="Tekstpodstawowy"/>
    <w:link w:val="NagwekZnak"/>
    <w:uiPriority w:val="99"/>
    <w:unhideWhenUsed/>
    <w:rsid w:val="0080229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7D5A"/>
    <w:pPr>
      <w:spacing w:after="120"/>
    </w:pPr>
  </w:style>
  <w:style w:type="paragraph" w:styleId="Lista">
    <w:name w:val="List"/>
    <w:basedOn w:val="Tekstpodstawowy"/>
    <w:rsid w:val="004C650A"/>
    <w:rPr>
      <w:rFonts w:cs="Lucida Sans"/>
    </w:rPr>
  </w:style>
  <w:style w:type="paragraph" w:styleId="Legenda">
    <w:name w:val="caption"/>
    <w:basedOn w:val="Normalny"/>
    <w:qFormat/>
    <w:rsid w:val="004C650A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rsid w:val="004C650A"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rsid w:val="004C650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rsid w:val="004C650A"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  <w:rsid w:val="004C650A"/>
  </w:style>
  <w:style w:type="paragraph" w:customStyle="1" w:styleId="Gwkaistopka">
    <w:name w:val="Główka i stopka"/>
    <w:basedOn w:val="Normalny"/>
    <w:qFormat/>
    <w:rsid w:val="004C650A"/>
  </w:style>
  <w:style w:type="paragraph" w:styleId="Stopka">
    <w:name w:val="footer"/>
    <w:basedOn w:val="Normalny"/>
    <w:link w:val="StopkaZnak"/>
    <w:uiPriority w:val="99"/>
    <w:unhideWhenUsed/>
    <w:rsid w:val="0080229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DD09C5"/>
    <w:pPr>
      <w:ind w:left="720"/>
      <w:contextualSpacing/>
    </w:pPr>
  </w:style>
  <w:style w:type="paragraph" w:customStyle="1" w:styleId="Standard">
    <w:name w:val="Standard"/>
    <w:link w:val="StandardZnak"/>
    <w:qFormat/>
    <w:rsid w:val="005935B9"/>
    <w:pPr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Standard"/>
    <w:qFormat/>
    <w:rsid w:val="005935B9"/>
    <w:pPr>
      <w:widowControl w:val="0"/>
      <w:spacing w:line="269" w:lineRule="exact"/>
    </w:pPr>
    <w:rPr>
      <w:rFonts w:ascii="Tahoma" w:eastAsia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077A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077A2"/>
    <w:rPr>
      <w:b/>
      <w:bCs/>
    </w:rPr>
  </w:style>
  <w:style w:type="paragraph" w:customStyle="1" w:styleId="Aufzhlung">
    <w:name w:val="Aufzählung"/>
    <w:basedOn w:val="Normalny"/>
    <w:qFormat/>
    <w:rsid w:val="0033697F"/>
    <w:pPr>
      <w:numPr>
        <w:numId w:val="2"/>
      </w:numPr>
      <w:spacing w:after="120" w:line="240" w:lineRule="auto"/>
      <w:ind w:right="0"/>
      <w:jc w:val="left"/>
    </w:pPr>
    <w:rPr>
      <w:rFonts w:ascii="Siemens Sans" w:hAnsi="Siemens Sans"/>
      <w:color w:val="auto"/>
      <w:sz w:val="20"/>
      <w:szCs w:val="24"/>
      <w:lang w:val="de-DE" w:eastAsia="de-DE"/>
    </w:rPr>
  </w:style>
  <w:style w:type="paragraph" w:styleId="Tekstpodstawowy2">
    <w:name w:val="Body Text 2"/>
    <w:basedOn w:val="Normalny"/>
    <w:link w:val="Tekstpodstawowy2Znak"/>
    <w:qFormat/>
    <w:rsid w:val="006B5EBD"/>
    <w:pPr>
      <w:spacing w:before="240" w:after="120" w:line="480" w:lineRule="auto"/>
      <w:ind w:left="0" w:right="0" w:firstLine="0"/>
      <w:jc w:val="left"/>
    </w:pPr>
    <w:rPr>
      <w:rFonts w:ascii="Arial" w:hAnsi="Arial" w:cs="Arial"/>
      <w:color w:val="auto"/>
      <w:sz w:val="21"/>
      <w:szCs w:val="21"/>
      <w:lang w:val="en-GB" w:eastAsia="en-GB"/>
    </w:rPr>
  </w:style>
  <w:style w:type="paragraph" w:customStyle="1" w:styleId="Zawartotabeliuser">
    <w:name w:val="Zawartość tabeli (user)"/>
    <w:basedOn w:val="Standard"/>
    <w:qFormat/>
    <w:rsid w:val="006B5EBD"/>
    <w:pPr>
      <w:widowControl w:val="0"/>
      <w:suppressLineNumbers/>
      <w:suppressAutoHyphens w:val="0"/>
      <w:textAlignment w:val="auto"/>
    </w:pPr>
    <w:rPr>
      <w:lang w:eastAsia="zh-CN"/>
    </w:rPr>
  </w:style>
  <w:style w:type="paragraph" w:customStyle="1" w:styleId="Wyp1">
    <w:name w:val="Wyp 1"/>
    <w:basedOn w:val="Normalny"/>
    <w:link w:val="Wyp1Znak"/>
    <w:autoRedefine/>
    <w:uiPriority w:val="99"/>
    <w:qFormat/>
    <w:rsid w:val="006B5EBD"/>
    <w:pPr>
      <w:keepLines/>
      <w:numPr>
        <w:numId w:val="3"/>
      </w:numPr>
      <w:spacing w:after="20" w:line="240" w:lineRule="auto"/>
      <w:ind w:right="278"/>
      <w:jc w:val="right"/>
    </w:pPr>
    <w:rPr>
      <w:rFonts w:ascii="Arial" w:eastAsia="Calibri" w:hAnsi="Arial" w:cs="Arial"/>
      <w:color w:val="auto"/>
      <w:sz w:val="20"/>
      <w:lang w:eastAsia="en-US"/>
    </w:rPr>
  </w:style>
  <w:style w:type="paragraph" w:customStyle="1" w:styleId="Wyp3">
    <w:name w:val="Wyp 3"/>
    <w:basedOn w:val="Tekstpodstawowy"/>
    <w:link w:val="Wyp3Znak"/>
    <w:autoRedefine/>
    <w:uiPriority w:val="99"/>
    <w:qFormat/>
    <w:rsid w:val="00137D5A"/>
    <w:pPr>
      <w:widowControl w:val="0"/>
      <w:spacing w:after="40" w:line="240" w:lineRule="auto"/>
      <w:ind w:left="851" w:right="0" w:firstLine="0"/>
    </w:pPr>
    <w:rPr>
      <w:rFonts w:eastAsia="Calibri"/>
      <w:color w:val="auto"/>
      <w:sz w:val="20"/>
      <w:szCs w:val="20"/>
      <w:lang w:eastAsia="en-US"/>
    </w:rPr>
  </w:style>
  <w:style w:type="paragraph" w:styleId="NormalnyWeb">
    <w:name w:val="Normal (Web)"/>
    <w:basedOn w:val="Normalny"/>
    <w:uiPriority w:val="99"/>
    <w:semiHidden/>
    <w:unhideWhenUsed/>
    <w:qFormat/>
    <w:rsid w:val="008744E8"/>
    <w:pPr>
      <w:spacing w:beforeAutospacing="1" w:afterAutospacing="1" w:line="240" w:lineRule="auto"/>
      <w:ind w:left="0" w:right="0" w:firstLine="0"/>
      <w:jc w:val="left"/>
    </w:pPr>
    <w:rPr>
      <w:rFonts w:eastAsiaTheme="minorEastAsia"/>
      <w:color w:val="auto"/>
      <w:szCs w:val="24"/>
    </w:rPr>
  </w:style>
  <w:style w:type="paragraph" w:customStyle="1" w:styleId="TableParagraph">
    <w:name w:val="Table Paragraph"/>
    <w:basedOn w:val="Normalny"/>
    <w:uiPriority w:val="1"/>
    <w:qFormat/>
    <w:rsid w:val="008744E8"/>
    <w:pPr>
      <w:widowControl w:val="0"/>
      <w:spacing w:after="0" w:line="240" w:lineRule="auto"/>
      <w:ind w:left="107" w:right="0" w:firstLine="0"/>
      <w:jc w:val="left"/>
    </w:pPr>
    <w:rPr>
      <w:rFonts w:ascii="Calibri Light" w:eastAsiaTheme="minorEastAsia" w:hAnsi="Calibri Light" w:cs="Calibri Light"/>
      <w:color w:val="auto"/>
      <w:sz w:val="22"/>
    </w:rPr>
  </w:style>
  <w:style w:type="paragraph" w:customStyle="1" w:styleId="Default">
    <w:name w:val="Default"/>
    <w:qFormat/>
    <w:rsid w:val="008744E8"/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Tabelapozycja">
    <w:name w:val="Tabela pozycja"/>
    <w:basedOn w:val="Normalny"/>
    <w:qFormat/>
    <w:rsid w:val="008744E8"/>
    <w:pPr>
      <w:spacing w:after="0" w:line="240" w:lineRule="auto"/>
      <w:ind w:left="0" w:right="0" w:firstLine="0"/>
      <w:jc w:val="left"/>
    </w:pPr>
    <w:rPr>
      <w:rFonts w:ascii="Arial" w:eastAsiaTheme="minorEastAsia" w:hAnsi="Arial"/>
      <w:color w:val="auto"/>
      <w:sz w:val="22"/>
      <w:szCs w:val="20"/>
    </w:rPr>
  </w:style>
  <w:style w:type="paragraph" w:styleId="Bezodstpw">
    <w:name w:val="No Spacing"/>
    <w:link w:val="BezodstpwZnak"/>
    <w:uiPriority w:val="1"/>
    <w:qFormat/>
    <w:rsid w:val="008744E8"/>
    <w:rPr>
      <w:rFonts w:ascii="Calibri" w:eastAsiaTheme="minorEastAsia" w:hAnsi="Calibri" w:cs="Times New Roman"/>
    </w:rPr>
  </w:style>
  <w:style w:type="paragraph" w:customStyle="1" w:styleId="Teksttreci1">
    <w:name w:val="Tekst treści1"/>
    <w:basedOn w:val="Normalny"/>
    <w:link w:val="Teksttreci"/>
    <w:qFormat/>
    <w:rsid w:val="008744E8"/>
    <w:pPr>
      <w:shd w:val="clear" w:color="auto" w:fill="FFFFFF"/>
      <w:spacing w:after="0" w:line="245" w:lineRule="exact"/>
      <w:ind w:left="0" w:right="0" w:hanging="500"/>
      <w:jc w:val="left"/>
    </w:pPr>
    <w:rPr>
      <w:rFonts w:asciiTheme="minorHAnsi" w:eastAsiaTheme="minorHAnsi" w:hAnsiTheme="minorHAnsi" w:cstheme="minorBidi"/>
      <w:color w:val="auto"/>
      <w:sz w:val="18"/>
      <w:lang w:eastAsia="en-US"/>
    </w:rPr>
  </w:style>
  <w:style w:type="paragraph" w:customStyle="1" w:styleId="Teksttreci31">
    <w:name w:val="Tekst treści (3)1"/>
    <w:basedOn w:val="Normalny"/>
    <w:link w:val="Teksttreci3"/>
    <w:qFormat/>
    <w:rsid w:val="008744E8"/>
    <w:pPr>
      <w:shd w:val="clear" w:color="auto" w:fill="FFFFFF"/>
      <w:spacing w:before="300" w:after="60" w:line="240" w:lineRule="atLeast"/>
      <w:ind w:left="0" w:right="0" w:hanging="500"/>
      <w:jc w:val="left"/>
    </w:pPr>
    <w:rPr>
      <w:rFonts w:asciiTheme="minorHAnsi" w:eastAsiaTheme="minorHAnsi" w:hAnsiTheme="minorHAnsi" w:cstheme="minorBidi"/>
      <w:b/>
      <w:color w:val="auto"/>
      <w:sz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744E8"/>
    <w:pPr>
      <w:spacing w:after="0" w:line="240" w:lineRule="auto"/>
      <w:ind w:left="0" w:right="0" w:firstLine="0"/>
      <w:jc w:val="left"/>
    </w:pPr>
    <w:rPr>
      <w:rFonts w:ascii="Segoe UI" w:eastAsiaTheme="minorEastAsia" w:hAnsi="Segoe UI" w:cs="Segoe UI"/>
      <w:color w:val="auto"/>
      <w:sz w:val="18"/>
      <w:szCs w:val="18"/>
      <w:lang w:eastAsia="en-US"/>
    </w:rPr>
  </w:style>
  <w:style w:type="paragraph" w:customStyle="1" w:styleId="msonormal0">
    <w:name w:val="msonormal"/>
    <w:basedOn w:val="Normalny"/>
    <w:qFormat/>
    <w:rsid w:val="0087092C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font5">
    <w:name w:val="font5"/>
    <w:basedOn w:val="Normalny"/>
    <w:qFormat/>
    <w:rsid w:val="0087092C"/>
    <w:pPr>
      <w:spacing w:beforeAutospacing="1" w:afterAutospacing="1" w:line="240" w:lineRule="auto"/>
      <w:ind w:left="0" w:right="0" w:firstLine="0"/>
      <w:jc w:val="left"/>
    </w:pPr>
    <w:rPr>
      <w:rFonts w:ascii="THA" w:hAnsi="THA"/>
      <w:sz w:val="20"/>
      <w:szCs w:val="20"/>
    </w:rPr>
  </w:style>
  <w:style w:type="paragraph" w:customStyle="1" w:styleId="xl65">
    <w:name w:val="xl65"/>
    <w:basedOn w:val="Normalny"/>
    <w:qFormat/>
    <w:rsid w:val="008709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5A5A5" w:fill="A5A5A5"/>
      <w:spacing w:beforeAutospacing="1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Cs w:val="24"/>
    </w:rPr>
  </w:style>
  <w:style w:type="paragraph" w:customStyle="1" w:styleId="xl66">
    <w:name w:val="xl66"/>
    <w:basedOn w:val="Normalny"/>
    <w:qFormat/>
    <w:rsid w:val="008709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xl67">
    <w:name w:val="xl67"/>
    <w:basedOn w:val="Normalny"/>
    <w:qFormat/>
    <w:rsid w:val="008709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8D8D8" w:fill="D8D8D8"/>
      <w:spacing w:beforeAutospacing="1" w:afterAutospacing="1" w:line="240" w:lineRule="auto"/>
      <w:ind w:left="0" w:right="0" w:firstLine="0"/>
      <w:jc w:val="center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68">
    <w:name w:val="xl68"/>
    <w:basedOn w:val="Normalny"/>
    <w:qFormat/>
    <w:rsid w:val="008709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8D8D8" w:fill="D8D8D8"/>
      <w:spacing w:beforeAutospacing="1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69">
    <w:name w:val="xl69"/>
    <w:basedOn w:val="Normalny"/>
    <w:qFormat/>
    <w:rsid w:val="008709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center"/>
      <w:textAlignment w:val="center"/>
    </w:pPr>
    <w:rPr>
      <w:rFonts w:ascii="THA" w:hAnsi="THA"/>
      <w:sz w:val="20"/>
      <w:szCs w:val="20"/>
    </w:rPr>
  </w:style>
  <w:style w:type="paragraph" w:customStyle="1" w:styleId="xl70">
    <w:name w:val="xl70"/>
    <w:basedOn w:val="Normalny"/>
    <w:qFormat/>
    <w:rsid w:val="008709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THA" w:hAnsi="THA"/>
      <w:sz w:val="20"/>
      <w:szCs w:val="20"/>
    </w:rPr>
  </w:style>
  <w:style w:type="paragraph" w:customStyle="1" w:styleId="xl71">
    <w:name w:val="xl71"/>
    <w:basedOn w:val="Normalny"/>
    <w:qFormat/>
    <w:rsid w:val="008709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</w:rPr>
  </w:style>
  <w:style w:type="paragraph" w:customStyle="1" w:styleId="xl72">
    <w:name w:val="xl72"/>
    <w:basedOn w:val="Normalny"/>
    <w:qFormat/>
    <w:rsid w:val="008709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</w:rPr>
  </w:style>
  <w:style w:type="paragraph" w:customStyle="1" w:styleId="xl73">
    <w:name w:val="xl73"/>
    <w:basedOn w:val="Normalny"/>
    <w:qFormat/>
    <w:rsid w:val="008709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THA" w:hAnsi="THA"/>
      <w:color w:val="auto"/>
      <w:sz w:val="20"/>
      <w:szCs w:val="20"/>
      <w:u w:val="single"/>
    </w:rPr>
  </w:style>
  <w:style w:type="paragraph" w:customStyle="1" w:styleId="xl74">
    <w:name w:val="xl74"/>
    <w:basedOn w:val="Normalny"/>
    <w:qFormat/>
    <w:rsid w:val="008709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center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75">
    <w:name w:val="xl75"/>
    <w:basedOn w:val="Normalny"/>
    <w:qFormat/>
    <w:rsid w:val="008709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THA" w:hAnsi="THA"/>
      <w:b/>
      <w:bCs/>
      <w:sz w:val="20"/>
      <w:szCs w:val="20"/>
    </w:rPr>
  </w:style>
  <w:style w:type="paragraph" w:customStyle="1" w:styleId="xl76">
    <w:name w:val="xl76"/>
    <w:basedOn w:val="Normalny"/>
    <w:qFormat/>
    <w:rsid w:val="008709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xl77">
    <w:name w:val="xl77"/>
    <w:basedOn w:val="Normalny"/>
    <w:qFormat/>
    <w:rsid w:val="008709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THA" w:hAnsi="THA"/>
      <w:color w:val="auto"/>
      <w:szCs w:val="24"/>
    </w:rPr>
  </w:style>
  <w:style w:type="paragraph" w:customStyle="1" w:styleId="ZnakZnak15">
    <w:name w:val="Znak Znak15"/>
    <w:basedOn w:val="Normalny"/>
    <w:qFormat/>
    <w:rsid w:val="00216497"/>
    <w:pPr>
      <w:spacing w:after="0" w:line="240" w:lineRule="auto"/>
      <w:ind w:left="0" w:right="0" w:firstLine="0"/>
      <w:jc w:val="left"/>
    </w:pPr>
    <w:rPr>
      <w:rFonts w:ascii="Arial" w:hAnsi="Arial" w:cs="Arial"/>
      <w:color w:val="auto"/>
      <w:szCs w:val="24"/>
    </w:rPr>
  </w:style>
  <w:style w:type="paragraph" w:styleId="Nagwekindeksu">
    <w:name w:val="index heading"/>
    <w:basedOn w:val="Nagwekuser"/>
    <w:rsid w:val="004C650A"/>
  </w:style>
  <w:style w:type="paragraph" w:styleId="Nagwekspisutreci">
    <w:name w:val="TOC Heading"/>
    <w:basedOn w:val="Nagwek1"/>
    <w:next w:val="Normalny"/>
    <w:uiPriority w:val="39"/>
    <w:unhideWhenUsed/>
    <w:qFormat/>
    <w:rsid w:val="00B01FA3"/>
    <w:pPr>
      <w:spacing w:before="240"/>
      <w:ind w:left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B01FA3"/>
    <w:pPr>
      <w:spacing w:after="100"/>
      <w:ind w:left="240"/>
    </w:pPr>
  </w:style>
  <w:style w:type="paragraph" w:styleId="Spistreci1">
    <w:name w:val="toc 1"/>
    <w:basedOn w:val="Normalny"/>
    <w:next w:val="Normalny"/>
    <w:autoRedefine/>
    <w:uiPriority w:val="39"/>
    <w:unhideWhenUsed/>
    <w:rsid w:val="00B01FA3"/>
    <w:pPr>
      <w:spacing w:after="100"/>
      <w:ind w:left="0"/>
    </w:pPr>
  </w:style>
  <w:style w:type="paragraph" w:styleId="Spistreci3">
    <w:name w:val="toc 3"/>
    <w:basedOn w:val="Normalny"/>
    <w:next w:val="Normalny"/>
    <w:autoRedefine/>
    <w:uiPriority w:val="39"/>
    <w:unhideWhenUsed/>
    <w:rsid w:val="00B01FA3"/>
    <w:pPr>
      <w:spacing w:after="100"/>
      <w:ind w:left="480"/>
    </w:pPr>
  </w:style>
  <w:style w:type="paragraph" w:styleId="Tytu">
    <w:name w:val="Title"/>
    <w:basedOn w:val="Normalny"/>
    <w:next w:val="Normalny"/>
    <w:link w:val="TytuZnak"/>
    <w:uiPriority w:val="10"/>
    <w:qFormat/>
    <w:rsid w:val="00B01FA3"/>
    <w:pPr>
      <w:spacing w:after="80" w:line="240" w:lineRule="auto"/>
      <w:ind w:left="0"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1FA3"/>
    <w:pPr>
      <w:spacing w:after="160" w:line="259" w:lineRule="auto"/>
      <w:ind w:right="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B01FA3"/>
    <w:pPr>
      <w:spacing w:before="160" w:after="160" w:line="259" w:lineRule="auto"/>
      <w:ind w:left="0"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1F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eastAsia="en-US"/>
    </w:rPr>
  </w:style>
  <w:style w:type="paragraph" w:customStyle="1" w:styleId="DNagwek2">
    <w:name w:val="D+ Nagłówek 2"/>
    <w:basedOn w:val="Normalny"/>
    <w:qFormat/>
    <w:rsid w:val="00B01FA3"/>
    <w:pPr>
      <w:tabs>
        <w:tab w:val="left" w:pos="-851"/>
      </w:tabs>
      <w:spacing w:after="0" w:line="276" w:lineRule="auto"/>
      <w:ind w:left="3336" w:right="0" w:hanging="360"/>
      <w:outlineLvl w:val="0"/>
    </w:pPr>
    <w:rPr>
      <w:rFonts w:ascii="Calibri" w:hAnsi="Calibri" w:cs="SimSun"/>
      <w:b/>
      <w:color w:val="auto"/>
      <w:lang w:eastAsia="ar-SA"/>
    </w:rPr>
  </w:style>
  <w:style w:type="paragraph" w:customStyle="1" w:styleId="Tekstpodstawowywcity33">
    <w:name w:val="Tekst podstawowy wcięty 33"/>
    <w:basedOn w:val="Normalny"/>
    <w:qFormat/>
    <w:rsid w:val="00B01FA3"/>
    <w:pPr>
      <w:spacing w:after="120" w:line="240" w:lineRule="auto"/>
      <w:ind w:left="283" w:right="0" w:firstLine="0"/>
      <w:jc w:val="left"/>
    </w:pPr>
    <w:rPr>
      <w:color w:val="auto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FA3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1FA3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B01FA3"/>
    <w:pPr>
      <w:spacing w:after="100" w:line="278" w:lineRule="auto"/>
      <w:ind w:left="720" w:right="0" w:firstLine="0"/>
      <w:jc w:val="left"/>
    </w:pPr>
    <w:rPr>
      <w:rFonts w:asciiTheme="minorHAnsi" w:eastAsiaTheme="minorEastAsia" w:hAnsiTheme="minorHAnsi" w:cstheme="minorBidi"/>
      <w:color w:val="auto"/>
      <w:kern w:val="2"/>
      <w:szCs w:val="24"/>
    </w:rPr>
  </w:style>
  <w:style w:type="paragraph" w:styleId="Spistreci5">
    <w:name w:val="toc 5"/>
    <w:basedOn w:val="Normalny"/>
    <w:next w:val="Normalny"/>
    <w:autoRedefine/>
    <w:uiPriority w:val="39"/>
    <w:unhideWhenUsed/>
    <w:rsid w:val="00B01FA3"/>
    <w:pPr>
      <w:spacing w:after="100" w:line="278" w:lineRule="auto"/>
      <w:ind w:left="960" w:right="0" w:firstLine="0"/>
      <w:jc w:val="left"/>
    </w:pPr>
    <w:rPr>
      <w:rFonts w:asciiTheme="minorHAnsi" w:eastAsiaTheme="minorEastAsia" w:hAnsiTheme="minorHAnsi" w:cstheme="minorBidi"/>
      <w:color w:val="auto"/>
      <w:kern w:val="2"/>
      <w:szCs w:val="24"/>
    </w:rPr>
  </w:style>
  <w:style w:type="paragraph" w:styleId="Spistreci6">
    <w:name w:val="toc 6"/>
    <w:basedOn w:val="Normalny"/>
    <w:next w:val="Normalny"/>
    <w:autoRedefine/>
    <w:uiPriority w:val="39"/>
    <w:unhideWhenUsed/>
    <w:rsid w:val="00B01FA3"/>
    <w:pPr>
      <w:spacing w:after="100" w:line="278" w:lineRule="auto"/>
      <w:ind w:left="1200" w:right="0" w:firstLine="0"/>
      <w:jc w:val="left"/>
    </w:pPr>
    <w:rPr>
      <w:rFonts w:asciiTheme="minorHAnsi" w:eastAsiaTheme="minorEastAsia" w:hAnsiTheme="minorHAnsi" w:cstheme="minorBidi"/>
      <w:color w:val="auto"/>
      <w:kern w:val="2"/>
      <w:szCs w:val="24"/>
    </w:rPr>
  </w:style>
  <w:style w:type="paragraph" w:styleId="Spistreci7">
    <w:name w:val="toc 7"/>
    <w:basedOn w:val="Normalny"/>
    <w:next w:val="Normalny"/>
    <w:autoRedefine/>
    <w:uiPriority w:val="39"/>
    <w:unhideWhenUsed/>
    <w:rsid w:val="00B01FA3"/>
    <w:pPr>
      <w:spacing w:after="100" w:line="278" w:lineRule="auto"/>
      <w:ind w:left="1440" w:right="0" w:firstLine="0"/>
      <w:jc w:val="left"/>
    </w:pPr>
    <w:rPr>
      <w:rFonts w:asciiTheme="minorHAnsi" w:eastAsiaTheme="minorEastAsia" w:hAnsiTheme="minorHAnsi" w:cstheme="minorBidi"/>
      <w:color w:val="auto"/>
      <w:kern w:val="2"/>
      <w:szCs w:val="24"/>
    </w:rPr>
  </w:style>
  <w:style w:type="paragraph" w:styleId="Spistreci8">
    <w:name w:val="toc 8"/>
    <w:basedOn w:val="Normalny"/>
    <w:next w:val="Normalny"/>
    <w:autoRedefine/>
    <w:uiPriority w:val="39"/>
    <w:unhideWhenUsed/>
    <w:rsid w:val="00B01FA3"/>
    <w:pPr>
      <w:spacing w:after="100" w:line="278" w:lineRule="auto"/>
      <w:ind w:left="1680" w:right="0" w:firstLine="0"/>
      <w:jc w:val="left"/>
    </w:pPr>
    <w:rPr>
      <w:rFonts w:asciiTheme="minorHAnsi" w:eastAsiaTheme="minorEastAsia" w:hAnsiTheme="minorHAnsi" w:cstheme="minorBidi"/>
      <w:color w:val="auto"/>
      <w:kern w:val="2"/>
      <w:szCs w:val="24"/>
    </w:rPr>
  </w:style>
  <w:style w:type="paragraph" w:styleId="Spistreci9">
    <w:name w:val="toc 9"/>
    <w:basedOn w:val="Normalny"/>
    <w:next w:val="Normalny"/>
    <w:autoRedefine/>
    <w:uiPriority w:val="39"/>
    <w:unhideWhenUsed/>
    <w:rsid w:val="00B01FA3"/>
    <w:pPr>
      <w:spacing w:after="100" w:line="278" w:lineRule="auto"/>
      <w:ind w:left="1920" w:right="0" w:firstLine="0"/>
      <w:jc w:val="left"/>
    </w:pPr>
    <w:rPr>
      <w:rFonts w:asciiTheme="minorHAnsi" w:eastAsiaTheme="minorEastAsia" w:hAnsiTheme="minorHAnsi" w:cstheme="minorBidi"/>
      <w:color w:val="auto"/>
      <w:kern w:val="2"/>
      <w:szCs w:val="24"/>
    </w:rPr>
  </w:style>
  <w:style w:type="paragraph" w:styleId="Poprawka">
    <w:name w:val="Revision"/>
    <w:uiPriority w:val="99"/>
    <w:semiHidden/>
    <w:qFormat/>
    <w:rsid w:val="00011E1B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paragraph">
    <w:name w:val="paragraph"/>
    <w:basedOn w:val="Normalny"/>
    <w:qFormat/>
    <w:rsid w:val="00E1689E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Nagwektabeliuser">
    <w:name w:val="Nagłówek tabeli (user)"/>
    <w:basedOn w:val="Zawartotabeliuser"/>
    <w:qFormat/>
    <w:rsid w:val="004C650A"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  <w:rsid w:val="004C650A"/>
  </w:style>
  <w:style w:type="numbering" w:customStyle="1" w:styleId="WW8Num1">
    <w:name w:val="WW8Num1"/>
    <w:qFormat/>
    <w:rsid w:val="009521B1"/>
  </w:style>
  <w:style w:type="numbering" w:customStyle="1" w:styleId="WW8Num2">
    <w:name w:val="WW8Num2"/>
    <w:qFormat/>
    <w:rsid w:val="009521B1"/>
  </w:style>
  <w:style w:type="numbering" w:customStyle="1" w:styleId="WW8Num3">
    <w:name w:val="WW8Num3"/>
    <w:qFormat/>
    <w:rsid w:val="009521B1"/>
  </w:style>
  <w:style w:type="numbering" w:customStyle="1" w:styleId="WW8Num6">
    <w:name w:val="WW8Num6"/>
    <w:qFormat/>
    <w:rsid w:val="009521B1"/>
  </w:style>
  <w:style w:type="numbering" w:customStyle="1" w:styleId="WW8Num7">
    <w:name w:val="WW8Num7"/>
    <w:qFormat/>
    <w:rsid w:val="009521B1"/>
  </w:style>
  <w:style w:type="numbering" w:customStyle="1" w:styleId="WW8Num8">
    <w:name w:val="WW8Num8"/>
    <w:qFormat/>
    <w:rsid w:val="009521B1"/>
  </w:style>
  <w:style w:type="numbering" w:customStyle="1" w:styleId="WW8Num10">
    <w:name w:val="WW8Num10"/>
    <w:qFormat/>
    <w:rsid w:val="009521B1"/>
  </w:style>
  <w:style w:type="numbering" w:customStyle="1" w:styleId="WW8Num11">
    <w:name w:val="WW8Num11"/>
    <w:qFormat/>
    <w:rsid w:val="009521B1"/>
  </w:style>
  <w:style w:type="numbering" w:customStyle="1" w:styleId="WW8Num12">
    <w:name w:val="WW8Num12"/>
    <w:qFormat/>
    <w:rsid w:val="004802B6"/>
  </w:style>
  <w:style w:type="numbering" w:customStyle="1" w:styleId="WW8Num21">
    <w:name w:val="WW8Num21"/>
    <w:qFormat/>
    <w:rsid w:val="004802B6"/>
  </w:style>
  <w:style w:type="numbering" w:customStyle="1" w:styleId="WW8Num31">
    <w:name w:val="WW8Num31"/>
    <w:qFormat/>
    <w:rsid w:val="004802B6"/>
  </w:style>
  <w:style w:type="numbering" w:customStyle="1" w:styleId="WW8Num5">
    <w:name w:val="WW8Num5"/>
    <w:qFormat/>
    <w:rsid w:val="004802B6"/>
  </w:style>
  <w:style w:type="numbering" w:customStyle="1" w:styleId="WW8Num61">
    <w:name w:val="WW8Num61"/>
    <w:qFormat/>
    <w:rsid w:val="004802B6"/>
  </w:style>
  <w:style w:type="numbering" w:customStyle="1" w:styleId="WW8Num71">
    <w:name w:val="WW8Num71"/>
    <w:qFormat/>
    <w:rsid w:val="004802B6"/>
  </w:style>
  <w:style w:type="numbering" w:customStyle="1" w:styleId="WW8Num81">
    <w:name w:val="WW8Num81"/>
    <w:qFormat/>
    <w:rsid w:val="004802B6"/>
  </w:style>
  <w:style w:type="numbering" w:customStyle="1" w:styleId="WW8Num101">
    <w:name w:val="WW8Num101"/>
    <w:qFormat/>
    <w:rsid w:val="004802B6"/>
  </w:style>
  <w:style w:type="numbering" w:customStyle="1" w:styleId="WW8Num111">
    <w:name w:val="WW8Num111"/>
    <w:qFormat/>
    <w:rsid w:val="004802B6"/>
  </w:style>
  <w:style w:type="numbering" w:customStyle="1" w:styleId="WW8Num13">
    <w:name w:val="WW8Num13"/>
    <w:qFormat/>
    <w:rsid w:val="004802B6"/>
  </w:style>
  <w:style w:type="numbering" w:customStyle="1" w:styleId="WW8Num22">
    <w:name w:val="WW8Num22"/>
    <w:qFormat/>
    <w:rsid w:val="004802B6"/>
  </w:style>
  <w:style w:type="numbering" w:customStyle="1" w:styleId="WW8Num32">
    <w:name w:val="WW8Num32"/>
    <w:qFormat/>
    <w:rsid w:val="004802B6"/>
  </w:style>
  <w:style w:type="numbering" w:customStyle="1" w:styleId="WW8Num51">
    <w:name w:val="WW8Num51"/>
    <w:qFormat/>
    <w:rsid w:val="004802B6"/>
  </w:style>
  <w:style w:type="numbering" w:customStyle="1" w:styleId="WW8Num72">
    <w:name w:val="WW8Num72"/>
    <w:qFormat/>
    <w:rsid w:val="004802B6"/>
  </w:style>
  <w:style w:type="numbering" w:customStyle="1" w:styleId="WW8Num82">
    <w:name w:val="WW8Num82"/>
    <w:qFormat/>
    <w:rsid w:val="004802B6"/>
  </w:style>
  <w:style w:type="numbering" w:customStyle="1" w:styleId="WW8Num102">
    <w:name w:val="WW8Num102"/>
    <w:qFormat/>
    <w:rsid w:val="004802B6"/>
  </w:style>
  <w:style w:type="numbering" w:customStyle="1" w:styleId="WW8Num112">
    <w:name w:val="WW8Num112"/>
    <w:qFormat/>
    <w:rsid w:val="004802B6"/>
  </w:style>
  <w:style w:type="numbering" w:customStyle="1" w:styleId="Bezlisty1">
    <w:name w:val="Bez listy1"/>
    <w:uiPriority w:val="99"/>
    <w:semiHidden/>
    <w:unhideWhenUsed/>
    <w:qFormat/>
    <w:rsid w:val="008744E8"/>
  </w:style>
  <w:style w:type="table" w:styleId="Tabela-Siatka">
    <w:name w:val="Table Grid"/>
    <w:basedOn w:val="Standardowy"/>
    <w:uiPriority w:val="39"/>
    <w:rsid w:val="00137D5A"/>
    <w:pPr>
      <w:jc w:val="right"/>
    </w:pPr>
    <w:rPr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31">
    <w:name w:val="Tabela siatki 31"/>
    <w:basedOn w:val="Standardowy"/>
    <w:uiPriority w:val="48"/>
    <w:rsid w:val="009B1551"/>
    <w:rPr>
      <w:lang w:eastAsia="pl-PL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abelasiatki32">
    <w:name w:val="Tabela siatki 32"/>
    <w:basedOn w:val="Standardowy"/>
    <w:uiPriority w:val="48"/>
    <w:rsid w:val="009B1551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000000" w:themeColor="text1"/>
        </w:tcBorders>
      </w:tcPr>
    </w:tblStylePr>
    <w:tblStylePr w:type="nwCell">
      <w:tblPr/>
      <w:tcPr>
        <w:tcBorders>
          <w:bottom w:val="single" w:sz="4" w:space="0" w:color="000000" w:themeColor="text1"/>
        </w:tcBorders>
      </w:tcPr>
    </w:tblStylePr>
    <w:tblStylePr w:type="seCell">
      <w:tblPr/>
      <w:tcPr>
        <w:tcBorders>
          <w:top w:val="single" w:sz="4" w:space="0" w:color="000000" w:themeColor="text1"/>
        </w:tcBorders>
      </w:tcPr>
    </w:tblStylePr>
    <w:tblStylePr w:type="swCell">
      <w:tblPr/>
      <w:tcPr>
        <w:tcBorders>
          <w:top w:val="single" w:sz="4" w:space="0" w:color="000000" w:themeColor="text1"/>
        </w:tcBorders>
      </w:tcPr>
    </w:tblStylePr>
  </w:style>
  <w:style w:type="table" w:customStyle="1" w:styleId="Tabelasiatki1jasna1">
    <w:name w:val="Tabela siatki 1 — jasna1"/>
    <w:basedOn w:val="Standardowy"/>
    <w:uiPriority w:val="46"/>
    <w:rsid w:val="007803C6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51">
    <w:name w:val="Tabela siatki 1 — jasna — akcent 51"/>
    <w:basedOn w:val="Standardowy"/>
    <w:uiPriority w:val="46"/>
    <w:rsid w:val="007803C6"/>
    <w:tblPr>
      <w:tblStyleRowBandSize w:val="1"/>
      <w:tblStyleColBandSize w:val="1"/>
      <w:tblInd w:w="0" w:type="dxa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2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3akcent51">
    <w:name w:val="Tabela siatki 3 — akcent 51"/>
    <w:basedOn w:val="Standardowy"/>
    <w:uiPriority w:val="48"/>
    <w:rsid w:val="007803C6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5B9BD5" w:themeColor="accent5"/>
        </w:tcBorders>
      </w:tcPr>
    </w:tblStylePr>
    <w:tblStylePr w:type="nwCell">
      <w:tblPr/>
      <w:tcPr>
        <w:tcBorders>
          <w:bottom w:val="single" w:sz="4" w:space="0" w:color="5B9BD5" w:themeColor="accent5"/>
        </w:tcBorders>
      </w:tcPr>
    </w:tblStylePr>
    <w:tblStylePr w:type="seCell">
      <w:tblPr/>
      <w:tcPr>
        <w:tcBorders>
          <w:top w:val="single" w:sz="4" w:space="0" w:color="5B9BD5" w:themeColor="accent5"/>
        </w:tcBorders>
      </w:tcPr>
    </w:tblStylePr>
    <w:tblStylePr w:type="swCell">
      <w:tblPr/>
      <w:tcPr>
        <w:tcBorders>
          <w:top w:val="single" w:sz="4" w:space="0" w:color="5B9BD5" w:themeColor="accent5"/>
        </w:tcBorders>
      </w:tcPr>
    </w:tblStylePr>
  </w:style>
  <w:style w:type="table" w:customStyle="1" w:styleId="Tabela-Siatka1">
    <w:name w:val="Tabela - Siatka1"/>
    <w:basedOn w:val="Standardowy"/>
    <w:uiPriority w:val="39"/>
    <w:rsid w:val="008744E8"/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744E8"/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siatki6kolorowa1">
    <w:name w:val="Tabela siatki 6 — kolorowa1"/>
    <w:basedOn w:val="Standardowy"/>
    <w:uiPriority w:val="51"/>
    <w:rsid w:val="00FB756A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listy3akcent11">
    <w:name w:val="Tabela listy 3 — akcent 11"/>
    <w:basedOn w:val="Standardowy"/>
    <w:uiPriority w:val="48"/>
    <w:rsid w:val="00B01FA3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listy4akcent11">
    <w:name w:val="Tabela listy 4 — akcent 11"/>
    <w:basedOn w:val="Standardowy"/>
    <w:uiPriority w:val="49"/>
    <w:rsid w:val="00B01FA3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elasiatki4akcent11">
    <w:name w:val="Tabela siatki 4 — akcent 11"/>
    <w:basedOn w:val="Standardowy"/>
    <w:uiPriority w:val="49"/>
    <w:rsid w:val="00B01FA3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Grid">
    <w:name w:val="TableGrid"/>
    <w:rsid w:val="00B01FA3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Normal"/>
    <w:rsid w:val="00B01FA3"/>
    <w:pPr>
      <w:spacing w:after="40" w:line="271" w:lineRule="auto"/>
    </w:pPr>
    <w:rPr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siatki21">
    <w:name w:val="Tabela siatki 21"/>
    <w:basedOn w:val="Standardowy"/>
    <w:uiPriority w:val="47"/>
    <w:rsid w:val="00B01FA3"/>
    <w:rPr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siatki22">
    <w:name w:val="Tabela siatki 22"/>
    <w:basedOn w:val="Standardowy"/>
    <w:uiPriority w:val="47"/>
    <w:rsid w:val="00B01FA3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siatki1jasnaakcent11">
    <w:name w:val="Tabela siatki 1 — jasna — akcent 11"/>
    <w:basedOn w:val="Standardowy"/>
    <w:uiPriority w:val="46"/>
    <w:rsid w:val="00AA3DF4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Standardowy"/>
    <w:uiPriority w:val="46"/>
    <w:rsid w:val="00BE2BF7"/>
    <w:rPr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FB24E-80F1-4F46-975D-A760BB059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3817</Words>
  <Characters>22908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HP</cp:lastModifiedBy>
  <cp:revision>33</cp:revision>
  <dcterms:created xsi:type="dcterms:W3CDTF">2026-02-05T21:54:00Z</dcterms:created>
  <dcterms:modified xsi:type="dcterms:W3CDTF">2026-03-21T08:59:00Z</dcterms:modified>
  <dc:language>pl-PL</dc:language>
</cp:coreProperties>
</file>